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56" w:rsidRDefault="005D0AA0" w:rsidP="005D0AA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24879" w:rsidRPr="00624879" w:rsidRDefault="005D0AA0" w:rsidP="00093F56">
      <w:pPr>
        <w:ind w:left="9639"/>
        <w:jc w:val="center"/>
        <w:rPr>
          <w:sz w:val="24"/>
        </w:rPr>
      </w:pPr>
      <w:r>
        <w:rPr>
          <w:sz w:val="24"/>
        </w:rPr>
        <w:t>«</w:t>
      </w:r>
      <w:r w:rsidR="00624879" w:rsidRPr="00624879">
        <w:rPr>
          <w:sz w:val="24"/>
        </w:rPr>
        <w:t>УТВЕРЖДЕНА</w:t>
      </w:r>
    </w:p>
    <w:p w:rsidR="00624879" w:rsidRPr="00624879" w:rsidRDefault="00624879" w:rsidP="00624879">
      <w:pPr>
        <w:ind w:left="9639"/>
        <w:jc w:val="center"/>
        <w:rPr>
          <w:sz w:val="24"/>
        </w:rPr>
      </w:pPr>
      <w:r w:rsidRPr="00624879">
        <w:rPr>
          <w:sz w:val="24"/>
        </w:rPr>
        <w:t xml:space="preserve">постановлением Администрации городского округа Навашинский от </w:t>
      </w:r>
      <w:r w:rsidRPr="00624879">
        <w:rPr>
          <w:sz w:val="24"/>
          <w:u w:val="single"/>
        </w:rPr>
        <w:t>27.10.2022</w:t>
      </w:r>
      <w:r w:rsidRPr="00624879">
        <w:rPr>
          <w:sz w:val="24"/>
        </w:rPr>
        <w:t xml:space="preserve"> № </w:t>
      </w:r>
      <w:r w:rsidRPr="00624879">
        <w:rPr>
          <w:sz w:val="24"/>
          <w:u w:val="single"/>
        </w:rPr>
        <w:t>1080</w:t>
      </w:r>
    </w:p>
    <w:p w:rsidR="00624879" w:rsidRPr="00624879" w:rsidRDefault="00624879" w:rsidP="00624879">
      <w:pPr>
        <w:ind w:left="9639"/>
        <w:jc w:val="center"/>
        <w:rPr>
          <w:sz w:val="24"/>
          <w:szCs w:val="24"/>
        </w:rPr>
      </w:pPr>
      <w:proofErr w:type="gramStart"/>
      <w:r w:rsidRPr="00624879">
        <w:rPr>
          <w:sz w:val="24"/>
          <w:szCs w:val="24"/>
        </w:rPr>
        <w:t>(в ред. постановлений Администрации</w:t>
      </w:r>
      <w:proofErr w:type="gramEnd"/>
    </w:p>
    <w:p w:rsidR="00624879" w:rsidRPr="00624879" w:rsidRDefault="00624879" w:rsidP="00624879">
      <w:pPr>
        <w:ind w:left="9639"/>
        <w:jc w:val="center"/>
        <w:rPr>
          <w:sz w:val="24"/>
          <w:szCs w:val="24"/>
        </w:rPr>
      </w:pPr>
      <w:r w:rsidRPr="00624879">
        <w:rPr>
          <w:sz w:val="24"/>
          <w:szCs w:val="24"/>
        </w:rPr>
        <w:t>городского округа Навашинский</w:t>
      </w:r>
    </w:p>
    <w:p w:rsidR="00624879" w:rsidRPr="005D0AA0" w:rsidRDefault="00624879" w:rsidP="00624879">
      <w:pPr>
        <w:ind w:left="9639"/>
        <w:jc w:val="center"/>
        <w:rPr>
          <w:b/>
          <w:sz w:val="24"/>
          <w:szCs w:val="24"/>
        </w:rPr>
      </w:pPr>
      <w:r w:rsidRPr="005D0AA0">
        <w:rPr>
          <w:sz w:val="24"/>
          <w:szCs w:val="24"/>
        </w:rPr>
        <w:t>от 26.12.2022 № 1344</w:t>
      </w:r>
      <w:r w:rsidR="005D0AA0" w:rsidRPr="005D0AA0">
        <w:rPr>
          <w:sz w:val="24"/>
          <w:szCs w:val="24"/>
        </w:rPr>
        <w:t xml:space="preserve"> от 28.03.2023 № 291, от 03.11.2023 № 941, от 26.12.2023 № 1096, от 28.12.2023 № 1108, от 11.04.2024 № 256, от 25.06.2024 № 408, от 14.11.2024 № 776, от 26.12.2024 № 926, от 27.12.2024 № 944, от 27.03.2025 №231</w:t>
      </w:r>
      <w:r w:rsidR="002A64D5">
        <w:rPr>
          <w:sz w:val="24"/>
          <w:szCs w:val="24"/>
        </w:rPr>
        <w:t xml:space="preserve">, </w:t>
      </w:r>
      <w:r w:rsidR="001C3BD2" w:rsidRPr="001C3BD2">
        <w:rPr>
          <w:sz w:val="24"/>
          <w:szCs w:val="24"/>
        </w:rPr>
        <w:t xml:space="preserve">постановления администрации муниципального округа Навашинский </w:t>
      </w:r>
      <w:proofErr w:type="gramStart"/>
      <w:r w:rsidR="002A64D5" w:rsidRPr="001C3BD2">
        <w:rPr>
          <w:sz w:val="24"/>
          <w:szCs w:val="24"/>
        </w:rPr>
        <w:t>от</w:t>
      </w:r>
      <w:proofErr w:type="gramEnd"/>
      <w:r w:rsidR="002A64D5">
        <w:rPr>
          <w:sz w:val="24"/>
          <w:szCs w:val="24"/>
        </w:rPr>
        <w:t xml:space="preserve"> 29.12.2025 №</w:t>
      </w:r>
      <w:r w:rsidR="002A64D5" w:rsidRPr="002A64D5">
        <w:rPr>
          <w:sz w:val="24"/>
          <w:szCs w:val="24"/>
        </w:rPr>
        <w:t>970</w:t>
      </w:r>
      <w:r w:rsidR="003B3E3E">
        <w:rPr>
          <w:sz w:val="24"/>
          <w:szCs w:val="24"/>
        </w:rPr>
        <w:t>, от 30.12.2025 № 999</w:t>
      </w:r>
      <w:bookmarkStart w:id="0" w:name="_GoBack"/>
      <w:bookmarkEnd w:id="0"/>
      <w:r w:rsidRPr="002A64D5">
        <w:rPr>
          <w:sz w:val="24"/>
          <w:szCs w:val="24"/>
        </w:rPr>
        <w:t>)</w:t>
      </w:r>
    </w:p>
    <w:p w:rsidR="00093F56" w:rsidRDefault="00093F56" w:rsidP="00093F56">
      <w:pPr>
        <w:widowControl/>
        <w:jc w:val="center"/>
        <w:rPr>
          <w:b/>
          <w:bCs/>
          <w:sz w:val="28"/>
          <w:szCs w:val="28"/>
        </w:rPr>
      </w:pPr>
    </w:p>
    <w:p w:rsidR="00093F56" w:rsidRPr="00093F56" w:rsidRDefault="00093F56" w:rsidP="00093F56">
      <w:pPr>
        <w:widowControl/>
        <w:jc w:val="center"/>
        <w:rPr>
          <w:b/>
          <w:bCs/>
          <w:sz w:val="28"/>
          <w:szCs w:val="28"/>
        </w:rPr>
      </w:pPr>
      <w:r w:rsidRPr="00093F56">
        <w:rPr>
          <w:b/>
          <w:bCs/>
          <w:sz w:val="28"/>
          <w:szCs w:val="28"/>
        </w:rPr>
        <w:t>МУНИЦИПАЛЬНАЯ ПРОГРАММА</w:t>
      </w:r>
    </w:p>
    <w:p w:rsidR="00093F56" w:rsidRPr="00093F56" w:rsidRDefault="00093F56" w:rsidP="00093F56">
      <w:pPr>
        <w:widowControl/>
        <w:jc w:val="center"/>
        <w:rPr>
          <w:b/>
          <w:bCs/>
          <w:sz w:val="28"/>
          <w:szCs w:val="28"/>
        </w:rPr>
      </w:pPr>
      <w:r w:rsidRPr="00093F56">
        <w:rPr>
          <w:b/>
          <w:bCs/>
          <w:sz w:val="28"/>
          <w:szCs w:val="28"/>
        </w:rPr>
        <w:t xml:space="preserve">«ПОВЫШЕНИЕ ЭФФЕКТИВНОСТИ БЮДЖЕТНЫХ РАСХОДОВ </w:t>
      </w:r>
      <w:r>
        <w:rPr>
          <w:b/>
          <w:bCs/>
          <w:sz w:val="28"/>
          <w:szCs w:val="28"/>
        </w:rPr>
        <w:t>МУНИЦИПАЛЬНОГО</w:t>
      </w:r>
      <w:r w:rsidRPr="00093F56">
        <w:rPr>
          <w:b/>
          <w:bCs/>
          <w:sz w:val="28"/>
          <w:szCs w:val="28"/>
        </w:rPr>
        <w:t xml:space="preserve"> ОКРУГА НАВАШИНСКИЙ</w:t>
      </w:r>
      <w:r>
        <w:rPr>
          <w:b/>
          <w:bCs/>
          <w:sz w:val="28"/>
          <w:szCs w:val="28"/>
        </w:rPr>
        <w:t xml:space="preserve"> </w:t>
      </w:r>
      <w:r w:rsidRPr="00093F56">
        <w:rPr>
          <w:b/>
          <w:bCs/>
          <w:sz w:val="28"/>
          <w:szCs w:val="28"/>
        </w:rPr>
        <w:t>НА 2023-2028 ГОДЫ»</w:t>
      </w:r>
    </w:p>
    <w:p w:rsidR="00093F56" w:rsidRPr="00093F56" w:rsidRDefault="00093F56" w:rsidP="00093F56">
      <w:pPr>
        <w:widowControl/>
        <w:jc w:val="center"/>
        <w:rPr>
          <w:sz w:val="12"/>
          <w:szCs w:val="12"/>
        </w:rPr>
      </w:pPr>
    </w:p>
    <w:p w:rsidR="00093F56" w:rsidRPr="00093F56" w:rsidRDefault="00093F56" w:rsidP="00093F56">
      <w:pPr>
        <w:widowControl/>
        <w:jc w:val="center"/>
        <w:rPr>
          <w:sz w:val="28"/>
          <w:szCs w:val="28"/>
        </w:rPr>
      </w:pPr>
      <w:r w:rsidRPr="00093F56">
        <w:rPr>
          <w:sz w:val="28"/>
          <w:szCs w:val="28"/>
        </w:rPr>
        <w:t>(далее – Программа)</w:t>
      </w:r>
    </w:p>
    <w:p w:rsidR="00093F56" w:rsidRPr="00093F56" w:rsidRDefault="00093F56" w:rsidP="00093F56">
      <w:pPr>
        <w:spacing w:before="240"/>
        <w:jc w:val="center"/>
        <w:outlineLvl w:val="2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1. ПАСПОРТ Программы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127"/>
        <w:gridCol w:w="992"/>
        <w:gridCol w:w="992"/>
        <w:gridCol w:w="992"/>
        <w:gridCol w:w="992"/>
        <w:gridCol w:w="992"/>
        <w:gridCol w:w="993"/>
        <w:gridCol w:w="1276"/>
      </w:tblGrid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1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Управление финансов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(далее - Управление финансов)</w:t>
            </w: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ind w:firstLine="222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(далее - 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округа) и ее структурные подразделения.</w:t>
            </w: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Подпрограммы Программы (при их наличии)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2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Отсутствуют</w:t>
            </w:r>
          </w:p>
        </w:tc>
      </w:tr>
      <w:tr w:rsidR="00093F56" w:rsidRPr="00093F56" w:rsidTr="00DB6C0E">
        <w:trPr>
          <w:trHeight w:val="1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2"/>
              <w:jc w:val="both"/>
              <w:rPr>
                <w:sz w:val="24"/>
                <w:szCs w:val="24"/>
              </w:rPr>
            </w:pPr>
            <w:proofErr w:type="gramStart"/>
            <w:r w:rsidRPr="00093F56">
              <w:rPr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Навашинский, повышение эффективности и качества управления муниципальными финансами, создание условий для повышения эффективности деятельности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по выполнению муниципальных функций и обеспечению потребностей граждан и общества в муниципальных услугах, увеличению их доступности и повышению качества, эффективной реализации среднесрочных приоритетов и целей социально-экономического развития.</w:t>
            </w:r>
            <w:proofErr w:type="gramEnd"/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spacing w:line="238" w:lineRule="auto"/>
              <w:ind w:firstLine="222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1. Создание оптимальных условий для повышения бюджетного потенциала, сбалансированности и </w:t>
            </w:r>
            <w:r w:rsidRPr="00093F56">
              <w:rPr>
                <w:sz w:val="24"/>
                <w:szCs w:val="24"/>
              </w:rPr>
              <w:lastRenderedPageBreak/>
              <w:t>устойчивости бюджета;</w:t>
            </w:r>
          </w:p>
          <w:p w:rsidR="00093F56" w:rsidRPr="00093F56" w:rsidRDefault="00093F56" w:rsidP="00093F56">
            <w:pPr>
              <w:ind w:firstLine="222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2. Развитие информационной системы управления муниципальными финансами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Навашинский;</w:t>
            </w:r>
          </w:p>
          <w:p w:rsidR="00093F56" w:rsidRPr="00093F56" w:rsidRDefault="00093F56" w:rsidP="00093F56">
            <w:pPr>
              <w:ind w:firstLine="222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3. Обеспечение открытости и прозрачности информации о бюджетном процессе и деятельности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Навашинский.</w:t>
            </w: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2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2023-2028 годы без разделения на этапы</w:t>
            </w:r>
          </w:p>
        </w:tc>
      </w:tr>
      <w:tr w:rsidR="00093F56" w:rsidRPr="00093F56" w:rsidTr="00DB6C0E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C02D58">
            <w:pPr>
              <w:ind w:firstLine="72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Общий объем финансирования Программы </w:t>
            </w:r>
            <w:r w:rsidRPr="00E86E20">
              <w:rPr>
                <w:sz w:val="24"/>
                <w:szCs w:val="24"/>
              </w:rPr>
              <w:t xml:space="preserve">составит </w:t>
            </w:r>
            <w:r w:rsidRPr="00C02D58">
              <w:rPr>
                <w:sz w:val="24"/>
                <w:szCs w:val="24"/>
              </w:rPr>
              <w:t>11</w:t>
            </w:r>
            <w:r w:rsidR="00E86E20" w:rsidRPr="00C02D58">
              <w:rPr>
                <w:sz w:val="24"/>
                <w:szCs w:val="24"/>
              </w:rPr>
              <w:t>9</w:t>
            </w:r>
            <w:r w:rsidRPr="00C02D58">
              <w:rPr>
                <w:sz w:val="24"/>
                <w:szCs w:val="24"/>
              </w:rPr>
              <w:t> </w:t>
            </w:r>
            <w:r w:rsidR="00C02D58" w:rsidRPr="00C02D58">
              <w:rPr>
                <w:sz w:val="24"/>
                <w:szCs w:val="24"/>
              </w:rPr>
              <w:t>744</w:t>
            </w:r>
            <w:r w:rsidRPr="00C02D58">
              <w:rPr>
                <w:sz w:val="24"/>
                <w:szCs w:val="24"/>
              </w:rPr>
              <w:t>,</w:t>
            </w:r>
            <w:r w:rsidR="00C02D58" w:rsidRPr="00C02D58">
              <w:rPr>
                <w:sz w:val="24"/>
                <w:szCs w:val="24"/>
              </w:rPr>
              <w:t>111</w:t>
            </w:r>
            <w:r w:rsidRPr="00C02D58">
              <w:rPr>
                <w:sz w:val="24"/>
                <w:szCs w:val="24"/>
              </w:rPr>
              <w:t>7</w:t>
            </w:r>
            <w:r w:rsidR="00C02D58" w:rsidRPr="00C02D58">
              <w:rPr>
                <w:sz w:val="24"/>
                <w:szCs w:val="24"/>
              </w:rPr>
              <w:t>1</w:t>
            </w:r>
            <w:r w:rsidRPr="00C02D58">
              <w:rPr>
                <w:sz w:val="24"/>
                <w:szCs w:val="24"/>
              </w:rPr>
              <w:t xml:space="preserve"> тыс</w:t>
            </w:r>
            <w:r w:rsidRPr="00093F56">
              <w:rPr>
                <w:sz w:val="24"/>
                <w:szCs w:val="24"/>
              </w:rPr>
              <w:t>. руб.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Всего, </w:t>
            </w:r>
          </w:p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тыс. руб.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2023</w:t>
            </w:r>
          </w:p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2024</w:t>
            </w:r>
          </w:p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2025</w:t>
            </w:r>
          </w:p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2026</w:t>
            </w:r>
          </w:p>
          <w:p w:rsidR="00093F56" w:rsidRPr="00093F56" w:rsidRDefault="00093F56" w:rsidP="00093F56">
            <w:pPr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2027</w:t>
            </w:r>
          </w:p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2028</w:t>
            </w:r>
          </w:p>
          <w:p w:rsidR="00093F56" w:rsidRPr="00093F56" w:rsidRDefault="00093F56" w:rsidP="00093F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год</w:t>
            </w:r>
          </w:p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17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969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192</w:t>
            </w:r>
            <w:r w:rsidRPr="00093F56"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18552,26988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C02D5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 w:rsidR="00C02D58">
              <w:rPr>
                <w:sz w:val="22"/>
                <w:szCs w:val="22"/>
              </w:rPr>
              <w:t>12</w:t>
            </w:r>
            <w:r w:rsidRPr="00093F56">
              <w:rPr>
                <w:sz w:val="22"/>
                <w:szCs w:val="22"/>
              </w:rPr>
              <w:t>54,</w:t>
            </w:r>
            <w:r w:rsidR="00C02D58">
              <w:rPr>
                <w:sz w:val="22"/>
                <w:szCs w:val="22"/>
              </w:rPr>
              <w:t>64906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E86E20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C02D5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119744,11171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105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C02D5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C02D58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C02D58">
              <w:rPr>
                <w:sz w:val="22"/>
                <w:szCs w:val="22"/>
              </w:rPr>
              <w:t>64906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E86E20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E86E20">
            <w:pPr>
              <w:jc w:val="center"/>
              <w:rPr>
                <w:b/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C02D5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fldChar w:fldCharType="begin"/>
            </w:r>
            <w:r w:rsidRPr="00093F56">
              <w:rPr>
                <w:rFonts w:cs="Arial"/>
                <w:sz w:val="22"/>
                <w:szCs w:val="22"/>
              </w:rPr>
              <w:instrText xml:space="preserve"> =SUM(LEFT) </w:instrText>
            </w:r>
            <w:r w:rsidRPr="00093F56">
              <w:rPr>
                <w:rFonts w:cs="Arial"/>
                <w:sz w:val="22"/>
                <w:szCs w:val="22"/>
              </w:rPr>
              <w:fldChar w:fldCharType="separate"/>
            </w:r>
            <w:r w:rsidRPr="00093F56">
              <w:rPr>
                <w:rFonts w:cs="Arial"/>
                <w:noProof/>
                <w:sz w:val="22"/>
                <w:szCs w:val="22"/>
              </w:rPr>
              <w:t>800</w:t>
            </w:r>
            <w:r w:rsidRPr="00093F56">
              <w:rPr>
                <w:rFonts w:cs="Arial"/>
                <w:sz w:val="22"/>
                <w:szCs w:val="22"/>
              </w:rPr>
              <w:fldChar w:fldCharType="end"/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00</w:t>
            </w:r>
            <w:r w:rsidRPr="00093F56">
              <w:rPr>
                <w:rFonts w:cs="Arial"/>
                <w:sz w:val="22"/>
                <w:szCs w:val="22"/>
              </w:rPr>
              <w:t>000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247,47500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260,00000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E01401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E01401" w:rsidP="00093F56">
            <w:pP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=SUM(LEFT)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837,475</w:t>
            </w:r>
            <w:r>
              <w:rPr>
                <w:sz w:val="24"/>
                <w:szCs w:val="24"/>
              </w:rPr>
              <w:fldChar w:fldCharType="end"/>
            </w:r>
            <w:r w:rsidR="00093F56" w:rsidRPr="00093F56">
              <w:rPr>
                <w:sz w:val="24"/>
                <w:szCs w:val="24"/>
              </w:rPr>
              <w:t>00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1"/>
              <w:rPr>
                <w:b/>
                <w:sz w:val="24"/>
                <w:szCs w:val="24"/>
              </w:rPr>
            </w:pPr>
            <w:r w:rsidRPr="00093F56">
              <w:rPr>
                <w:b/>
                <w:sz w:val="24"/>
                <w:szCs w:val="24"/>
              </w:rPr>
              <w:t>Индикаторы достижения цели: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1. Отношение муниципального долга (за вычетом выданных гарантий)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 </w:t>
            </w:r>
            <w:r w:rsidRPr="00093F56">
              <w:rPr>
                <w:rFonts w:eastAsia="Calibri"/>
                <w:sz w:val="24"/>
                <w:szCs w:val="24"/>
              </w:rPr>
              <w:t>составляет не более 10%</w:t>
            </w:r>
            <w:r w:rsidRPr="00093F56">
              <w:rPr>
                <w:sz w:val="24"/>
                <w:szCs w:val="24"/>
              </w:rPr>
              <w:t>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2. Отношение дефицита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без учета объема безвозмездных поступлений равно 0.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 xml:space="preserve">3. Доля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округа, формируемых в рамках муниципальных программ, в общем объеме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(без учета субвенций на исполнение делегируемых полномочий) составляет 90% и более.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4. Доля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 осуществление бюджетных инвестиций, осуществляемых в рамках муниципальных программ составляет 100%.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5. Доля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округа, принятых в отчетном финансовом году, проекты которых прошли публичные обсуждения составляет 100%.</w:t>
            </w:r>
          </w:p>
          <w:p w:rsidR="00093F56" w:rsidRPr="00093F56" w:rsidRDefault="00093F56" w:rsidP="00FF30DA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6. Доля участников бюджетного процесса, а также муниципальных бюджетных и автономных учреждений, вовлеченных в электронный документооборот, в общем количестве участников бюджетного процесса, а также муниципальных бюджетных и автономных учреждений составляет 100%.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7. </w:t>
            </w:r>
            <w:r w:rsidRPr="00093F56">
              <w:rPr>
                <w:bCs/>
                <w:sz w:val="24"/>
                <w:szCs w:val="24"/>
              </w:rPr>
              <w:t>Количество письменных ответов на запросы НП «</w:t>
            </w:r>
            <w:r w:rsidRPr="00093F56">
              <w:rPr>
                <w:sz w:val="24"/>
                <w:szCs w:val="24"/>
              </w:rPr>
              <w:t>Сообщество финансистов России» по обмену опытом составляет более 10 ед.</w:t>
            </w:r>
          </w:p>
          <w:p w:rsidR="00093F56" w:rsidRPr="00093F56" w:rsidRDefault="00093F56" w:rsidP="00093F56">
            <w:pPr>
              <w:ind w:firstLine="221"/>
              <w:rPr>
                <w:b/>
                <w:sz w:val="24"/>
                <w:szCs w:val="24"/>
              </w:rPr>
            </w:pPr>
            <w:r w:rsidRPr="00093F56">
              <w:rPr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1. Объем муниципального долга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находится на экономически безопасном уровне.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2. 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сформирован в программном формате с учетом планируемых результатов по муниципальным программам.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3. Проведена оценка эффективности реализации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в соответствии с утвержденным порядком.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4. Осуществление бюджетного процесса с использованием автоматизированных систем управления.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5. Прирост посещаемости официального сайта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предыдущему году.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6. Обеспечение доступа к актуальной информации профессионального назначения открытого характера.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color w:val="333333"/>
                <w:sz w:val="24"/>
                <w:szCs w:val="24"/>
              </w:rPr>
              <w:t>7. </w:t>
            </w:r>
            <w:r w:rsidRPr="00093F56">
              <w:rPr>
                <w:sz w:val="24"/>
                <w:szCs w:val="24"/>
              </w:rPr>
              <w:t>Выполнение мероприятий Программы в полном объеме.</w:t>
            </w:r>
          </w:p>
        </w:tc>
      </w:tr>
    </w:tbl>
    <w:p w:rsidR="00093F56" w:rsidRPr="00093F56" w:rsidRDefault="00093F56" w:rsidP="00093F56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  <w:sectPr w:rsidR="00093F56" w:rsidRPr="00093F56" w:rsidSect="003B3E3E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lastRenderedPageBreak/>
        <w:t>2. Текущее состояние сферы реализации Программы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spacing w:line="240" w:lineRule="atLeast"/>
        <w:textAlignment w:val="baseline"/>
        <w:rPr>
          <w:rFonts w:ascii="Arial" w:hAnsi="Arial" w:cs="Arial"/>
          <w:color w:val="2D2D2D"/>
          <w:spacing w:val="1"/>
          <w:sz w:val="16"/>
          <w:szCs w:val="16"/>
        </w:rPr>
      </w:pP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Действующая в настоящее время в </w:t>
      </w:r>
      <w:r w:rsidR="00FF30DA">
        <w:rPr>
          <w:spacing w:val="1"/>
          <w:sz w:val="28"/>
          <w:szCs w:val="28"/>
        </w:rPr>
        <w:t xml:space="preserve">муниципальном </w:t>
      </w:r>
      <w:r w:rsidRPr="00093F56">
        <w:rPr>
          <w:spacing w:val="1"/>
          <w:sz w:val="28"/>
          <w:szCs w:val="28"/>
        </w:rPr>
        <w:t>округе Навашинский система муниципальных финансов сложилась в результате активных процессов реформирования, начавшихся в Российской Федерации и Нижегородской области в 2000-х годах.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Муниципальное образование на протяжении ряда лет активно участвовало в реализации бюджетных реформ, проводимых Правительством Российской Федерации и Правительством Нижегородской области в части развития казначейского исполнения бюджета, реформирования бюджетного процесса, разграничения бюджетных полномочий, повышения эффективности межбюджетных отношений и качества управления муниципальными финансами.</w:t>
      </w:r>
    </w:p>
    <w:p w:rsidR="00093F56" w:rsidRPr="00093F56" w:rsidRDefault="00093F56" w:rsidP="00093F56">
      <w:pPr>
        <w:ind w:firstLine="700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Результатом данных реформ стало формирование в муниципальном образовании </w:t>
      </w:r>
      <w:r w:rsidR="00CC193B">
        <w:rPr>
          <w:sz w:val="28"/>
          <w:szCs w:val="28"/>
        </w:rPr>
        <w:t>муниципальный</w:t>
      </w:r>
      <w:r w:rsidRPr="00093F56">
        <w:rPr>
          <w:sz w:val="28"/>
          <w:szCs w:val="28"/>
        </w:rPr>
        <w:t xml:space="preserve"> округ Навашинский современной системы управления общественными муниципальными финансами путём: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организации бюджетного процесса исходя из принципа безусловного исполнения действующих расходных обязательств;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перехода на казначейское исполнение местного бюджета, обеспечивающее кассовое обслуживание бюджета, эффективный учет и предварительный контроль в процессе исполнения расходных обязательств бюджета, управление единым счетом местного бюджета;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перехода от годового к среднесрочному финансовому планированию, в том числе утверждению бюджета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 очередной финансовый год и на плановый период в формате «скользящей трехлетки»;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создания системы мониторинга качества управления финансами, осуществляемого главными распорядителями средств бюджета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обеспечения открытости и прозрачности бюджетного процесса.</w:t>
      </w:r>
    </w:p>
    <w:p w:rsidR="00093F56" w:rsidRPr="00093F56" w:rsidRDefault="00093F56" w:rsidP="00093F56">
      <w:pPr>
        <w:tabs>
          <w:tab w:val="left" w:pos="37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t xml:space="preserve">В 2011-2013 годах развитие бюджетной системы Навашинского муниципального района осуществлялось в рамках Программы по повышению эффективности бюджетных расходов на период 2011-2013 годы, утвержденной постановлением администрации Навашинского района от 21.08.2011 № 241 </w:t>
      </w:r>
      <w:r w:rsidRPr="00093F56">
        <w:rPr>
          <w:sz w:val="28"/>
          <w:szCs w:val="28"/>
        </w:rPr>
        <w:t>(в редакции от 11.09.2012 № 240)</w:t>
      </w:r>
      <w:r w:rsidRPr="00093F56">
        <w:rPr>
          <w:rFonts w:eastAsia="Calibri"/>
          <w:sz w:val="28"/>
          <w:szCs w:val="28"/>
          <w:lang w:eastAsia="en-US"/>
        </w:rPr>
        <w:t>.</w:t>
      </w:r>
    </w:p>
    <w:p w:rsidR="00093F56" w:rsidRPr="00093F56" w:rsidRDefault="00093F56" w:rsidP="00093F56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t xml:space="preserve">В 2014-2015 годах дальнейшее развитие муниципальных финансов было продолжено в соответствии с Программой повышения эффективности бюджетных расходов Навашинского муниципального района на период 2014-2017 годы, утвержденной постановлением администрации Навашинского района от 11.06.2014 № 171 </w:t>
      </w:r>
      <w:r w:rsidRPr="00093F56">
        <w:rPr>
          <w:rFonts w:eastAsia="Calibri"/>
          <w:sz w:val="28"/>
          <w:szCs w:val="28"/>
        </w:rPr>
        <w:t>(в редакции от 06.10.2014 № 284, от 10.11.2014 № 313, от 07.08.2015 № 279)</w:t>
      </w:r>
      <w:r w:rsidRPr="00093F56">
        <w:rPr>
          <w:rFonts w:eastAsia="Calibri"/>
          <w:sz w:val="28"/>
          <w:szCs w:val="28"/>
          <w:lang w:eastAsia="en-US"/>
        </w:rPr>
        <w:t>.</w:t>
      </w:r>
    </w:p>
    <w:p w:rsidR="00093F56" w:rsidRPr="00093F56" w:rsidRDefault="00093F56" w:rsidP="00093F56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93F56">
        <w:rPr>
          <w:rFonts w:eastAsia="Calibri"/>
          <w:sz w:val="28"/>
          <w:szCs w:val="28"/>
          <w:lang w:eastAsia="en-US"/>
        </w:rPr>
        <w:t xml:space="preserve">В связи с преобразованием в 2015 году Навашинского муниципального района в городской округ была разработана муниципальная программа «Повышение эффективности бюджетных расходов </w:t>
      </w:r>
      <w:r w:rsidR="00CC193B">
        <w:rPr>
          <w:rFonts w:eastAsia="Calibri"/>
          <w:sz w:val="28"/>
          <w:szCs w:val="28"/>
          <w:lang w:eastAsia="en-US"/>
        </w:rPr>
        <w:t>городского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Навашинский на период 2016-2020 годов», утвержденная постановлением Администрации Навашинского района от 20.11.2015 № 458 (в редакции </w:t>
      </w:r>
      <w:r w:rsidRPr="00093F56">
        <w:rPr>
          <w:rFonts w:eastAsia="Calibri"/>
          <w:sz w:val="28"/>
          <w:szCs w:val="28"/>
        </w:rPr>
        <w:t>от 20.02.2016 № 119, от 13.09.2016 № 731, от 18.10.2016 № 867, от 23.12.2016 № 1069, от 19.12.2017 № 1292)</w:t>
      </w:r>
      <w:r w:rsidRPr="00093F5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rFonts w:eastAsia="Calibri"/>
          <w:sz w:val="28"/>
          <w:szCs w:val="28"/>
          <w:lang w:eastAsia="en-US"/>
        </w:rPr>
        <w:t xml:space="preserve">В 2019 – 2022 годах развитие муниципальных финансов было продолжено в </w:t>
      </w:r>
      <w:r w:rsidRPr="00093F56">
        <w:rPr>
          <w:rFonts w:eastAsia="Calibri"/>
          <w:sz w:val="28"/>
          <w:szCs w:val="28"/>
          <w:lang w:eastAsia="en-US"/>
        </w:rPr>
        <w:lastRenderedPageBreak/>
        <w:t xml:space="preserve">соответствии с муниципальной программой «Повышение эффективности бюджетных расходов </w:t>
      </w:r>
      <w:r w:rsidR="00CC193B">
        <w:rPr>
          <w:rFonts w:eastAsia="Calibri"/>
          <w:sz w:val="28"/>
          <w:szCs w:val="28"/>
          <w:lang w:eastAsia="en-US"/>
        </w:rPr>
        <w:t>городского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Навашинский на 2019-2024 годы», утвержденной постановлением администрации </w:t>
      </w:r>
      <w:r w:rsidR="00CC193B">
        <w:rPr>
          <w:rFonts w:eastAsia="Calibri"/>
          <w:sz w:val="28"/>
          <w:szCs w:val="28"/>
          <w:lang w:eastAsia="en-US"/>
        </w:rPr>
        <w:t>городского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Навашинский от 16.10.2018 № 778 </w:t>
      </w:r>
      <w:r w:rsidRPr="00093F56">
        <w:rPr>
          <w:sz w:val="28"/>
          <w:szCs w:val="28"/>
        </w:rPr>
        <w:t>(в редакции от 09.01.2019 № 7, от 30.09.2019 № 915, от 19.12.2019 № 1319, от 15.01.2020 № 14, от 20.08.2020 № 882, от 09.09.2020 № 956, от 12.10.2020 № 1077 от 21.12.2020 № 1354, от</w:t>
      </w:r>
      <w:proofErr w:type="gramEnd"/>
      <w:r w:rsidRPr="00093F56">
        <w:rPr>
          <w:sz w:val="28"/>
          <w:szCs w:val="28"/>
        </w:rPr>
        <w:t xml:space="preserve"> </w:t>
      </w:r>
      <w:proofErr w:type="gramStart"/>
      <w:r w:rsidRPr="00093F56">
        <w:rPr>
          <w:sz w:val="28"/>
          <w:szCs w:val="28"/>
        </w:rPr>
        <w:t>21.01.2021 № 48, от 18.03.2021 № 253, от 15.09.2021 № 882, от 27.12.2021 № 1278, от 30.12.2021 № 1329, от 28.01.2022 № 82).</w:t>
      </w:r>
      <w:proofErr w:type="gramEnd"/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реализации мероприятий муниципальной программы «Повышение эффективности бюджетных расходов в городском округе Навашинский на период 2019-2024 годов»: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продолжена работа по совершенствованию бюджетного планирования в увязке со стратегическим планированием и прогнозами социально-экономического развития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 Навашинский;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активизирована работа по внедрению программно-целевых методов управления в бюджетный процесс;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ведется активная работа в сфере обеспечения открытости и прозрачности информации о бюджетном процессе и деятельности органов местного самоуправления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 Навашинский в сфере повышения качества предоставления муниципальных услуг;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бюджетный процесс осуществляется при использовании автоматизированных систем управления.</w:t>
      </w:r>
    </w:p>
    <w:p w:rsidR="00093F56" w:rsidRPr="00093F56" w:rsidRDefault="00093F56" w:rsidP="00093F56">
      <w:pPr>
        <w:tabs>
          <w:tab w:val="left" w:pos="3760"/>
        </w:tabs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По итогам реализации данной программы с 2019 года по настоящее время достигнуты следующие результаты: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1. О стабильности финансового положения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 свидетельствует отсутствие у муниципального образования муниципального долга на протяжении четырех лет (начиная с 01.01.2019), увеличен резерв в виде остатков собственных средств на едином счете для их возможного использования в случае ухудшения экономической ситуации.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По состоянию на 01.01.2019 остаток средств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округа, за исключением остатка средств по целевым межбюджетным трансфертам, составлял 14,8 млн. руб.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По состоянию на 01.01.2022 остаток средств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округа, за исключением остатка средств по целевым межбюджетным трансфертам, составил 30,7 млн. руб. Таким образом, произошло увеличение остатка средств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округа, за исключением остатка средств по целевым межбюджетным трансфертам, на 15,9 млн. руб. (или на 107,4%).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2. Бюджет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ежегодно формируется в программном формате.</w:t>
      </w:r>
    </w:p>
    <w:p w:rsidR="00093F56" w:rsidRPr="00093F56" w:rsidRDefault="00093F56" w:rsidP="00093F56">
      <w:pPr>
        <w:ind w:firstLine="709"/>
        <w:jc w:val="both"/>
        <w:rPr>
          <w:bCs/>
          <w:sz w:val="28"/>
          <w:szCs w:val="28"/>
        </w:rPr>
      </w:pPr>
      <w:r w:rsidRPr="00093F56">
        <w:rPr>
          <w:sz w:val="28"/>
          <w:szCs w:val="28"/>
        </w:rPr>
        <w:t>3. На систематической основе о</w:t>
      </w:r>
      <w:r w:rsidRPr="00093F56">
        <w:rPr>
          <w:bCs/>
          <w:sz w:val="28"/>
          <w:szCs w:val="28"/>
        </w:rPr>
        <w:t xml:space="preserve">существляется мониторинг качества финансового менеджмента в </w:t>
      </w:r>
      <w:r w:rsidR="00CC193B">
        <w:rPr>
          <w:bCs/>
          <w:sz w:val="28"/>
          <w:szCs w:val="28"/>
        </w:rPr>
        <w:t>муниципальном</w:t>
      </w:r>
      <w:r w:rsidRPr="00093F56">
        <w:rPr>
          <w:bCs/>
          <w:sz w:val="28"/>
          <w:szCs w:val="28"/>
        </w:rPr>
        <w:t xml:space="preserve"> округе Навашинский.</w:t>
      </w:r>
    </w:p>
    <w:p w:rsidR="00093F56" w:rsidRPr="00093F56" w:rsidRDefault="00093F56" w:rsidP="00093F56">
      <w:pPr>
        <w:ind w:firstLine="709"/>
        <w:jc w:val="both"/>
        <w:rPr>
          <w:bCs/>
          <w:sz w:val="28"/>
          <w:szCs w:val="28"/>
        </w:rPr>
      </w:pPr>
      <w:r w:rsidRPr="00093F56">
        <w:rPr>
          <w:bCs/>
          <w:sz w:val="28"/>
          <w:szCs w:val="28"/>
        </w:rPr>
        <w:t xml:space="preserve">Мониторинг охватывает все процедуры в рамках бюджетного процесса и проводится на основании сведений, представляемых главными администраторами средств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</w:t>
      </w:r>
      <w:r w:rsidRPr="00093F56">
        <w:rPr>
          <w:bCs/>
          <w:sz w:val="28"/>
          <w:szCs w:val="28"/>
        </w:rPr>
        <w:t xml:space="preserve">в Управление финансов. При осуществлении мониторинга учитывается качество финансового планирования главных распорядителей бюджетных средств, исполнения бюджета по расходам и </w:t>
      </w:r>
      <w:r w:rsidRPr="00093F56">
        <w:rPr>
          <w:bCs/>
          <w:sz w:val="28"/>
          <w:szCs w:val="28"/>
        </w:rPr>
        <w:lastRenderedPageBreak/>
        <w:t>доходам, системы учета и отчетности, системы контроля и аудита, исполнение судебных актов.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Cs/>
          <w:sz w:val="28"/>
          <w:szCs w:val="28"/>
        </w:rPr>
        <w:t>4. В рамках осуществления бюджетного процесса с использованием автоматизированных систем управления продолжена работа по снижению доли бумажного документооборота.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Осуществляется юридически значимый электронный документооборот в автоматизированной системе «АЦК-Финансы» между Управлением финансов и участниками бюджетного процесса, а также с муниципальными бюджетными и автономными учреждениями с использованием телекоммуникационных каналов связи.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5. В целях повышения открытости и прозрачности бюджетного процесса, а также обеспечения доступности информации о бюджете гражданам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подготовлены и размещены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 ежегодные информационные сборники «Бюджет для граждан» к решению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к отчету об исполнении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«Бюджет для граждан» в доступной форме знакомит население округа с основными положениями главного финансового документа – решения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С целью обеспечения открытости бюджетных данных, а также повышения заинтересованности граждан в разделе «Муниципальные финансы» на официальном сайте органов местного самоуправления: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- регулярно размещалась отчетность об исполнении бюджета, ежемесячно публиковались сведения об объеме муниципального долга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округа, ежемесячно - сведения о кредиторской задолженности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округа;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- в подразделе «</w:t>
      </w:r>
      <w:proofErr w:type="spellStart"/>
      <w:r w:rsidRPr="00093F56">
        <w:rPr>
          <w:sz w:val="28"/>
          <w:szCs w:val="28"/>
          <w:lang w:val="x-none" w:eastAsia="x-none"/>
        </w:rPr>
        <w:t>Инфографика</w:t>
      </w:r>
      <w:proofErr w:type="spellEnd"/>
      <w:r w:rsidRPr="00093F56">
        <w:rPr>
          <w:sz w:val="28"/>
          <w:szCs w:val="28"/>
          <w:lang w:val="x-none" w:eastAsia="x-none"/>
        </w:rPr>
        <w:t xml:space="preserve">» ежемесячно осуществлялась передача информации и данных с помощью графического изображения по доходам, расходам, дефициту (профициту), объему муниципального долга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округа;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- размещен социальный интернет-опрос общественного мнения по бюджетной тематике, с помощью которого изучается мнение населения о бюджетном процессе в городском округе и уровень бюджетной грамотности населения, а так же форум «Открытый бюджет» - с помощью которого у граждан появилась возможность в электронном виде задать вопрос, направить отзыв или предложение по бюджетной тематике.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Начиная с 2019 года, с целью обеспечения открытости бюджетных данных, а также повышения заинтересованности граждан, </w:t>
      </w:r>
      <w:r w:rsidR="00D90E85">
        <w:rPr>
          <w:sz w:val="28"/>
          <w:szCs w:val="28"/>
          <w:lang w:eastAsia="x-none"/>
        </w:rPr>
        <w:t>городской</w:t>
      </w:r>
      <w:r w:rsidRPr="00093F56">
        <w:rPr>
          <w:sz w:val="28"/>
          <w:szCs w:val="28"/>
          <w:lang w:val="x-none" w:eastAsia="x-none"/>
        </w:rPr>
        <w:t xml:space="preserve"> округ Навашинский участвовал в социально значимом проекте «Интерактивный бюджет для граждан». В 2019 году Проект реализовывался Центром фискальной политики (ЦФП) на средства Президентского гранта.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Интерактивный бюджет для граждан – это информационный сервис, который в сжатом и доступном для непрофессионала формате объясняет, откуда берутся и на что расходуются средства бюджета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Управление финансов при консультационной поддержке ЦФП подготовило всю необходимую информацию для «начинки» цифрового сервиса, в результате на официальном сайте органов местного самоуправления </w:t>
      </w:r>
      <w:r w:rsidR="00D90E85">
        <w:rPr>
          <w:sz w:val="28"/>
          <w:szCs w:val="28"/>
          <w:lang w:eastAsia="x-none"/>
        </w:rPr>
        <w:t>городского</w:t>
      </w:r>
      <w:r w:rsidRPr="00093F56">
        <w:rPr>
          <w:sz w:val="28"/>
          <w:szCs w:val="28"/>
          <w:lang w:val="x-none" w:eastAsia="x-none"/>
        </w:rPr>
        <w:t xml:space="preserve"> округа </w:t>
      </w:r>
      <w:r w:rsidRPr="00093F56">
        <w:rPr>
          <w:sz w:val="28"/>
          <w:szCs w:val="28"/>
          <w:lang w:val="x-none" w:eastAsia="x-none"/>
        </w:rPr>
        <w:lastRenderedPageBreak/>
        <w:t xml:space="preserve">Навашинский появилась ссылка на цифровой сервис «Интерактивный бюджет для граждан», пройдя по которой желающие граждане смогли ознакомиться в доступной форме с информацией о бюджете, дать свои предложения по изменению параметров бюджета </w:t>
      </w:r>
      <w:r w:rsidR="00D90E85">
        <w:rPr>
          <w:sz w:val="28"/>
          <w:szCs w:val="28"/>
          <w:lang w:eastAsia="x-none"/>
        </w:rPr>
        <w:t>городского</w:t>
      </w:r>
      <w:r w:rsidRPr="00093F56">
        <w:rPr>
          <w:sz w:val="28"/>
          <w:szCs w:val="28"/>
          <w:lang w:val="x-none" w:eastAsia="x-none"/>
        </w:rPr>
        <w:t xml:space="preserve"> округа, выйти с бюджетными инициативами на будущий бюджетный год.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В 2019 году за активное участие в реализации социально значимого проекта «Интерактивный бюджет для граждан» городской округ Навашинский от ЦФП и Фонда Президентских грантов награжден двумя дипломами в номинациях «Активность граждан в диалоге с местной властью по бюджетным вопросам» и «Лучшее оформление информационных страниц».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Результатом проведенных мероприятий по открытости и прозрачности бюджетного процесса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 стало то, что пятый год подряд (по итогам за 2017, 2018, 2019, 2020 и 2021 годы) округ достигает наилучшие результаты открытости бюджетных данных с максимально возможной суммой баллов среди 52 муниципальных районов и городских округов Нижегородской области, включая город Нижний Новгород. По итогам оценки за 2021 год </w:t>
      </w:r>
      <w:r w:rsidR="00286108">
        <w:rPr>
          <w:sz w:val="28"/>
          <w:szCs w:val="28"/>
          <w:lang w:eastAsia="x-none"/>
        </w:rPr>
        <w:t>городскому</w:t>
      </w:r>
      <w:r w:rsidRPr="00093F56">
        <w:rPr>
          <w:sz w:val="28"/>
          <w:szCs w:val="28"/>
          <w:lang w:val="x-none" w:eastAsia="x-none"/>
        </w:rPr>
        <w:t xml:space="preserve"> округу Навашинский присвоен очень высокий уровень открытости бюджетных данных. Коллектив Управления финансов Администрации </w:t>
      </w:r>
      <w:r w:rsidR="00286108">
        <w:rPr>
          <w:sz w:val="28"/>
          <w:szCs w:val="28"/>
          <w:lang w:eastAsia="x-none"/>
        </w:rPr>
        <w:t>городского</w:t>
      </w:r>
      <w:r w:rsidR="00286108" w:rsidRPr="00093F56">
        <w:rPr>
          <w:sz w:val="28"/>
          <w:szCs w:val="28"/>
          <w:lang w:val="x-none" w:eastAsia="x-none"/>
        </w:rPr>
        <w:t xml:space="preserve"> </w:t>
      </w:r>
      <w:r w:rsidRPr="00093F56">
        <w:rPr>
          <w:sz w:val="28"/>
          <w:szCs w:val="28"/>
          <w:lang w:val="x-none" w:eastAsia="x-none"/>
        </w:rPr>
        <w:t>округа Навашинский награжден Почетной грамотой Министерства финансов Нижегородской области за достижение наивысших показателей в сфере открытости бюджетных данных за 2021 год.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В результате реализации муниципальной программы «Повышение эффективности бюджетных расходов городского округа Навашинский на 2019-2024 годы», по итогам проведенной Министерством финансов Нижегородской области в 2021 году оценки платежеспособности и качества управления финансами за 2020 год, </w:t>
      </w:r>
      <w:r w:rsidR="00286108">
        <w:rPr>
          <w:sz w:val="28"/>
          <w:szCs w:val="28"/>
          <w:lang w:eastAsia="x-none"/>
        </w:rPr>
        <w:t>городской</w:t>
      </w:r>
      <w:r w:rsidRPr="00093F56">
        <w:rPr>
          <w:sz w:val="28"/>
          <w:szCs w:val="28"/>
          <w:lang w:val="x-none" w:eastAsia="x-none"/>
        </w:rPr>
        <w:t xml:space="preserve"> округ Навашинский занял 1 место среди 52 муниципальных районов и городских округов Нижегородской области, включая город Нижний Новгород.</w:t>
      </w:r>
    </w:p>
    <w:p w:rsidR="00093F56" w:rsidRPr="00093F56" w:rsidRDefault="00093F56" w:rsidP="00093F56">
      <w:pPr>
        <w:widowControl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Это свидетельствует о том, что в основном поставленные задачи программы повышения эффективности бюджетных расходов на 2019-2021 годы были решены, что способствует обеспечению преемственности развития политики управления муниципальными финансами в городском округе Навашинский.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то же время в сфере управления муниципальными финансами сохраняется ряд следующих системных недостатков и нерешённых проблем: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pacing w:val="1"/>
          <w:sz w:val="28"/>
          <w:szCs w:val="28"/>
          <w:shd w:val="clear" w:color="auto" w:fill="FFFFFF"/>
        </w:rPr>
        <w:t>- сохраняются условия и стимулы для неоправданного увеличения бюджетных расходов, не созданы условия для мотивации главных распорядителей бюджетных средств, а также бюджетных учреждений в повышении эффективности бюджетных расходов и своей деятельности в целом;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при наличии нормативной базы по разработке муниципальных программ внедрение программно-целевого принципа исполнения бюджета осуществляется неоправданно низкими темпами;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формальным и недостаточно увязанным с бюджетным процессом остается применение инструментов бюджетирования, </w:t>
      </w:r>
      <w:proofErr w:type="gramStart"/>
      <w:r w:rsidRPr="00093F56">
        <w:rPr>
          <w:spacing w:val="1"/>
          <w:sz w:val="28"/>
          <w:szCs w:val="28"/>
        </w:rPr>
        <w:t>ориентированного</w:t>
      </w:r>
      <w:proofErr w:type="gramEnd"/>
      <w:r w:rsidRPr="00093F56">
        <w:rPr>
          <w:spacing w:val="1"/>
          <w:sz w:val="28"/>
          <w:szCs w:val="28"/>
        </w:rPr>
        <w:t xml:space="preserve"> на результаты.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Необходимость поддержания сбалансированности и устойчивости бюджетной системы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является важнейшим условием в достижении долгосрочных целей социально-экономического развития округа, что в </w:t>
      </w:r>
      <w:r w:rsidRPr="00093F56">
        <w:rPr>
          <w:spacing w:val="1"/>
          <w:sz w:val="28"/>
          <w:szCs w:val="28"/>
        </w:rPr>
        <w:lastRenderedPageBreak/>
        <w:t>свою очередь увеличивает актуальность разработки и реализации системы мер по повышению эффективности деятельности органов местного самоуправления и управления финансовыми ресурсами.</w:t>
      </w:r>
    </w:p>
    <w:p w:rsidR="00093F56" w:rsidRPr="00093F56" w:rsidRDefault="00093F56" w:rsidP="00093F56">
      <w:pPr>
        <w:widowControl/>
        <w:spacing w:before="240"/>
        <w:jc w:val="center"/>
        <w:outlineLvl w:val="1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3. Цель и задачи Программы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Целью Программы является создание оптимальных условий для повышения эффективности деятельности органов местного самоуправления округа по выполнению муниципальных функций и </w:t>
      </w:r>
      <w:r w:rsidRPr="00093F56">
        <w:rPr>
          <w:spacing w:val="1"/>
          <w:sz w:val="28"/>
          <w:szCs w:val="28"/>
          <w:shd w:val="clear" w:color="auto" w:fill="FFFFFF"/>
        </w:rPr>
        <w:t>повышения качества бюджетного процесса.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Для достижения заявленной цели предполагается обеспечить решение следующих основных задач:</w:t>
      </w:r>
    </w:p>
    <w:p w:rsidR="00093F56" w:rsidRPr="00093F56" w:rsidRDefault="00093F56" w:rsidP="00093F56">
      <w:pPr>
        <w:spacing w:line="238" w:lineRule="auto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1) Создание оптимальных условий для повышения бюджетного потенциала, сбалансированности и устойчивости бюджета;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2) Развитие информационной системы управления муниципальными финансами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Навашинский;</w:t>
      </w:r>
    </w:p>
    <w:p w:rsidR="00093F56" w:rsidRPr="00093F56" w:rsidRDefault="00093F56" w:rsidP="00093F56">
      <w:pPr>
        <w:widowControl/>
        <w:ind w:firstLine="709"/>
        <w:jc w:val="both"/>
        <w:outlineLvl w:val="2"/>
        <w:rPr>
          <w:sz w:val="28"/>
          <w:szCs w:val="28"/>
        </w:rPr>
      </w:pPr>
      <w:r w:rsidRPr="00093F56">
        <w:rPr>
          <w:sz w:val="28"/>
          <w:szCs w:val="28"/>
        </w:rPr>
        <w:t xml:space="preserve">3) Обеспечение открытости и прозрачности информации о бюджетном процессе и деятельности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spacing w:before="240"/>
        <w:ind w:firstLine="709"/>
        <w:jc w:val="center"/>
        <w:outlineLvl w:val="2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4. Этапы и сроки реализации Программы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Программа реализуется в течение 2023 - 2028 годов без разделения на этапы.</w:t>
      </w:r>
    </w:p>
    <w:p w:rsidR="00093F56" w:rsidRPr="00093F56" w:rsidRDefault="00093F56" w:rsidP="00093F56">
      <w:pPr>
        <w:spacing w:before="240"/>
        <w:ind w:firstLine="720"/>
        <w:jc w:val="center"/>
        <w:outlineLvl w:val="4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5. Перечень основных мероприятий Программы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Достижение поставленных целей и задач Программы осуществляется посредством комплекса основных мероприятий, реализуемых Управлением финансов и субъектами бюджетного планирования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округа, являющимися соисполнителями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Программы предусмотрена реализация 6 основных мероприятий, перечень которых представлен в таблице 1.</w:t>
      </w:r>
    </w:p>
    <w:p w:rsidR="00093F56" w:rsidRPr="00093F56" w:rsidRDefault="00093F56" w:rsidP="00093F56">
      <w:pPr>
        <w:spacing w:before="240"/>
        <w:ind w:firstLine="709"/>
        <w:jc w:val="both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 xml:space="preserve">Задача «Обеспечение долгосрочной сбалансированности и устойчивости бюджета </w:t>
      </w:r>
      <w:r>
        <w:rPr>
          <w:b/>
          <w:sz w:val="28"/>
          <w:szCs w:val="28"/>
        </w:rPr>
        <w:t>муниципального</w:t>
      </w:r>
      <w:r w:rsidRPr="00093F56">
        <w:rPr>
          <w:b/>
          <w:sz w:val="28"/>
          <w:szCs w:val="28"/>
        </w:rPr>
        <w:t xml:space="preserve"> округа Навашинский».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>В рамках решения задачи предусмотрена реализация следующих основных мероприятий: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Arial" w:hAnsi="Arial" w:cs="Arial"/>
          <w:color w:val="2D2D2D"/>
          <w:spacing w:val="1"/>
          <w:sz w:val="16"/>
          <w:szCs w:val="16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 xml:space="preserve">«Обеспечение сбалансированности и устойчивости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округа».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Важнейшей предпосылкой для обеспечения стабильного социально-экономического климата является проведение предсказуемой и ответственной бюджетной, налоговой и долговой политики.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Обеспечение долгосрочной сбалансированности и устойчивости местного бюджета является одной из основных задач бюджетной политики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Сбалансированность бюджета - это соответствие расходных обязательств доходным источникам бюджета. Устойчивость бюджета - способность бюджета </w:t>
      </w:r>
      <w:r w:rsidRPr="00093F56">
        <w:rPr>
          <w:spacing w:val="1"/>
          <w:sz w:val="28"/>
          <w:szCs w:val="28"/>
        </w:rPr>
        <w:lastRenderedPageBreak/>
        <w:t xml:space="preserve">сохранять сбалансированность бюджета при неблагоприятном сценарии развития экономической ситуации в </w:t>
      </w:r>
      <w:r w:rsidR="00CF1D6E">
        <w:rPr>
          <w:spacing w:val="1"/>
          <w:sz w:val="28"/>
          <w:szCs w:val="28"/>
        </w:rPr>
        <w:t>муниципальном</w:t>
      </w:r>
      <w:r w:rsidRPr="00093F56">
        <w:rPr>
          <w:spacing w:val="1"/>
          <w:sz w:val="28"/>
          <w:szCs w:val="28"/>
        </w:rPr>
        <w:t xml:space="preserve"> округе.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В рамках реализации предсказуемой и ответственной бюджетной, налоговой и долговой политики уже были предприняты определенные меры по обеспечению сбалансированности и устойчивости бюджета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осуществлен переход к трехлетнему бюджетному планированию;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внедрены процедуры мониторинга кредиторской задолженности бюджета;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формализованы процедуры составления реестра расходных обязательств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Недостаточность бюджетных ресурсов для исполнения расходных обязательств муниципального образования и неравномерность поступления доходных источников в течение года повышает актуальность привлечения краткосрочных и долгосрочных заемных средств.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Бюджетный кодекс Российской Федерации определяет перечень видов долговых обязательств муниципального образования и устанавливает ограничения на предельный объем муниципального долга и расходов на его обслуживание, определяет требования к составу, порядку учета и регистрации долговых обязательств муниципального образования.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Управление муниципальным внутренним долгом является составной частью системы управления муниципальными финансами в </w:t>
      </w:r>
      <w:r w:rsidR="00CF1D6E">
        <w:rPr>
          <w:spacing w:val="1"/>
          <w:sz w:val="28"/>
          <w:szCs w:val="28"/>
        </w:rPr>
        <w:t>муниципальном</w:t>
      </w:r>
      <w:r w:rsidRPr="00093F56">
        <w:rPr>
          <w:spacing w:val="1"/>
          <w:sz w:val="28"/>
          <w:szCs w:val="28"/>
        </w:rPr>
        <w:t xml:space="preserve"> округе Навашинский.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Принципами политики управления муниципальным долгом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являются: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соблюдение ограничений, установленных Бюджетным кодексом Российской Федерации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сохранение объема долговых обязательств на экономически безопасном уровне;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полнота и своевременность исполнения долговых обязательств;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минимизация стоимости обслуживания долга;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эффективность использования заемных средств;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прозрачность управления долгом.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Действующие нормативные правовые акты муниципального образования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устанавливают общие принципы управления муниципальным внутренним долгом, порядок привлечения определенных Бюджетным кодексом Российской Федерации видов заимствований, а также способ и форму учета долговых обязательств. Привлечение муниципальных заимствований осуществляется в </w:t>
      </w:r>
      <w:r w:rsidRPr="00286108">
        <w:rPr>
          <w:spacing w:val="1"/>
          <w:sz w:val="28"/>
          <w:szCs w:val="28"/>
        </w:rPr>
        <w:t xml:space="preserve">соответствии с </w:t>
      </w:r>
      <w:r w:rsidRPr="00286108">
        <w:rPr>
          <w:sz w:val="28"/>
          <w:szCs w:val="28"/>
        </w:rPr>
        <w:t>решениями Совета депутатов муниципального округа Навашинский от 05.12.2019 № 472 «Об утверждении Положения о муниципальном долге городского округа Навашинский», от 26.03.2020 № 496 «Об утверждении Положения о порядке осуществления муниципальных заимствований».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В рамках Программы под управлением муниципальным долгом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следует понимать стратегию управления муниципальными заимствованиями в целях поддержания объема долга на экономически безопасном уровне, своевременного погашения принятых </w:t>
      </w:r>
      <w:r w:rsidRPr="00093F56">
        <w:rPr>
          <w:spacing w:val="1"/>
          <w:sz w:val="28"/>
          <w:szCs w:val="28"/>
        </w:rPr>
        <w:lastRenderedPageBreak/>
        <w:t>обязательств, минимизации стоимости его обслуживания и оптимизации распределения во времени связанных с долгом платежей.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Основными мероприятиями по совершенствованию системы управления муниципальным долгом муниципального образования </w:t>
      </w:r>
      <w:r w:rsidR="00336B8C">
        <w:rPr>
          <w:spacing w:val="1"/>
          <w:sz w:val="28"/>
          <w:szCs w:val="28"/>
        </w:rPr>
        <w:t>муниципальный</w:t>
      </w:r>
      <w:r w:rsidRPr="00093F56">
        <w:rPr>
          <w:spacing w:val="1"/>
          <w:sz w:val="28"/>
          <w:szCs w:val="28"/>
        </w:rPr>
        <w:t xml:space="preserve"> округ Навашинский являются: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формирование долговой политики исходя из обеспечения выполнения расходных обязательств города с соблюдением ограничений, установленных бюджетным законодательством;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продолжение осуществления отбора кредитных организаций для привлечения кредитных ресурсов на конкурсной основе, что позволит снизить расходы на обслуживание заемных средств;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применение механизмов привлечения бюджетных кредитов из областного бюджета по низкой процентной ставке в сочетании с более выгодными сроками заимствования;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обеспечение своевременного исполнения долговых обязательств.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Качественное и эффективное управление долгом означает не только отсутствие просроченных долговых обязательств, оптимизацию расходов на обслуживание муниципального долга, но напрямую влияет на обеспечение долгосрочной сбалансированности бюджета.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целей по данному мероприятию предусмотрены следующие индикаторы: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отношение муниципального долга (за вычетом выданных гарантий)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к доходам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отношение дефицита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к доходам без учета объема безвозмездных поступлений.</w:t>
      </w:r>
    </w:p>
    <w:p w:rsidR="00093F56" w:rsidRPr="00093F56" w:rsidRDefault="00093F56" w:rsidP="00093F56">
      <w:pPr>
        <w:spacing w:after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результате выполнения данного мероприятия объем муниципального долга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 будет находиться на экономически безопасном уровне.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/>
          <w:sz w:val="28"/>
          <w:szCs w:val="28"/>
        </w:rPr>
        <w:t>Основное мероприятие «</w:t>
      </w:r>
      <w:r w:rsidRPr="00093F56">
        <w:rPr>
          <w:sz w:val="28"/>
          <w:szCs w:val="28"/>
        </w:rPr>
        <w:t xml:space="preserve">Разработка и реализация муниципальных программ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Основными результатами работы по внедрению программно-целевых методов управления в бюджетный процесс стали: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1. Пересмотр программ (стратегий) социально-экономического развития и их адаптация к основным требованиям программного бюджетирования;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2. Инвентаризация программ и ликвидация неэффективных, нефинансируемых либо неисполняемых программных документов;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3. Доработка нормативно-правовой базы, внесение в нее изменений, позволяющих использовать инструменты программно-целевого управления;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4. Внедрение в бюджетный процесс механизмов мониторинга и оценки результатов программ, позволяющих оперативно реагировать на отклонения от заданных параметров.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Вместе с тем, несмотря на динамичное развитие финансовых отношений, </w:t>
      </w:r>
      <w:r w:rsidRPr="00093F56">
        <w:rPr>
          <w:sz w:val="28"/>
          <w:szCs w:val="28"/>
        </w:rPr>
        <w:lastRenderedPageBreak/>
        <w:t>основанное на определении непосредственных (прямых) и конечных результатов расходования бюджетных средств и показателей, на основании которых можно судить о степени достижения поставленных целей, к настоящему времени процесс формирования целостной системы программно-целевого планирования не завершен. Наряду с положительными результатами реализации мер по повышению эффективности бюджетных расходов, сохраняется ряд ограничений и нерешенных проблем.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>По итогам проведенных оценок эффективности действующих муниципальных программ в 2019 году высокоэффективными признаны 13 из 19 муниципальных программ или 68% от общего перечня муниципальных программ, в 2020 году высокоэффективными признаны 10 из 19 муниципальных программ или 53% от общего перечня муниципальных программ, в 2021 году высокоэффективными признаны 8 из 19 муниципальных программ или 42% от общего перечня муниципальных программ.</w:t>
      </w:r>
      <w:proofErr w:type="gramEnd"/>
      <w:r w:rsidRPr="00093F56">
        <w:rPr>
          <w:sz w:val="28"/>
          <w:szCs w:val="28"/>
        </w:rPr>
        <w:t xml:space="preserve"> (</w:t>
      </w:r>
      <w:proofErr w:type="spellStart"/>
      <w:r w:rsidRPr="00093F56">
        <w:rPr>
          <w:sz w:val="28"/>
          <w:szCs w:val="28"/>
        </w:rPr>
        <w:t>Справочно</w:t>
      </w:r>
      <w:proofErr w:type="spellEnd"/>
      <w:r w:rsidRPr="00093F56">
        <w:rPr>
          <w:sz w:val="28"/>
          <w:szCs w:val="28"/>
        </w:rPr>
        <w:t xml:space="preserve">: за </w:t>
      </w:r>
      <w:r w:rsidRPr="00093F56">
        <w:rPr>
          <w:sz w:val="28"/>
          <w:szCs w:val="28"/>
          <w:lang w:eastAsia="en-US"/>
        </w:rPr>
        <w:t xml:space="preserve">2018 год </w:t>
      </w:r>
      <w:proofErr w:type="gramStart"/>
      <w:r w:rsidRPr="00093F56">
        <w:rPr>
          <w:sz w:val="28"/>
          <w:szCs w:val="28"/>
        </w:rPr>
        <w:t>высокоэффективными</w:t>
      </w:r>
      <w:proofErr w:type="gramEnd"/>
      <w:r w:rsidRPr="00093F56">
        <w:rPr>
          <w:sz w:val="28"/>
          <w:szCs w:val="28"/>
        </w:rPr>
        <w:t xml:space="preserve"> признано</w:t>
      </w:r>
      <w:r w:rsidRPr="00093F56">
        <w:rPr>
          <w:sz w:val="28"/>
          <w:szCs w:val="28"/>
          <w:lang w:eastAsia="en-US"/>
        </w:rPr>
        <w:t xml:space="preserve"> 88% муниципальных</w:t>
      </w:r>
      <w:r w:rsidRPr="00093F56">
        <w:rPr>
          <w:sz w:val="28"/>
          <w:szCs w:val="28"/>
        </w:rPr>
        <w:t xml:space="preserve"> программ). В числе проблем, в частности, выявлены следующие: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1) утвержденные показатели эффективности муниципальных программ в основном не увязаны с объемами финансирования программ;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2) отсутствует необходимая координация при реализации программ, в том числе слабо прорабатываются вопросы по привлечению иных источников финансирования программных мероприятий;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3) ответственными исполнителями не соблюдаются требования по своевременному представлению отчетности о ходе реализации муниципальных программ, также отмечается низкое качество представляемой отчетности;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4) несоблюдение </w:t>
      </w:r>
      <w:proofErr w:type="gramStart"/>
      <w:r w:rsidRPr="00093F56">
        <w:rPr>
          <w:sz w:val="28"/>
          <w:szCs w:val="28"/>
        </w:rPr>
        <w:t>контроля за</w:t>
      </w:r>
      <w:proofErr w:type="gramEnd"/>
      <w:r w:rsidRPr="00093F56">
        <w:rPr>
          <w:sz w:val="28"/>
          <w:szCs w:val="28"/>
        </w:rPr>
        <w:t xml:space="preserve"> выполнением индикаторов программы, непосредственных результатов и мероприятий плана реализации муниципальных программ.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целом сложившаяся практика реализации муниципальных программ, состояние нормативно-методического обеспечения, свидетельствует о наличии следующих основных ограничений и нерешенных проблем: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незавершенность формирования и ограниченность практики использования муниципальных программ в качестве основного инструмента для достижения целей и основы для бюджетного планирования;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необходимость обеспечения сбалансированности бюджетной системы в долгосрочной перспективе в соответствии с долгосрочным прогнозом социально-экономического развития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необходимость жесткой экономии муниципальных ресурсов и, соответственно, полное исключение возможности неоправданного увеличения бюджетных расходов и неэффективного использования средств муниципального бюджета.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поставленной задачи предусмотрены следующие индикаторы Программы: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доля расходов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округа, формируемых в рамках муниципальных программ, в общем объеме расходов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(без учета субвенций на исполнение делегируемых полномочий);</w:t>
      </w:r>
    </w:p>
    <w:p w:rsidR="00093F56" w:rsidRPr="00093F56" w:rsidRDefault="00093F56" w:rsidP="00093F5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lastRenderedPageBreak/>
        <w:t xml:space="preserve">- доля расходов бюджета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 осуществление бюджетных инвестиций, осуществляемых в рамках муниципальных программ;</w:t>
      </w:r>
    </w:p>
    <w:p w:rsidR="00093F56" w:rsidRPr="00093F56" w:rsidRDefault="00093F56" w:rsidP="00093F5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t xml:space="preserve">- доля муниципальных программ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округа, принятых в отчетном финансовом году, проекты которых прошли публичные обсуждения.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результате реализации данного мероприятия будут созданы все условия для формирования бюджета на основе муниципальных программ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исходя из планируемых и достигаемых результатов.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/>
          <w:sz w:val="28"/>
          <w:szCs w:val="28"/>
        </w:rPr>
        <w:t xml:space="preserve">Задача «Развитие информационной системы управления муниципальными финансами </w:t>
      </w:r>
      <w:r>
        <w:rPr>
          <w:b/>
          <w:sz w:val="28"/>
          <w:szCs w:val="28"/>
        </w:rPr>
        <w:t>муниципального</w:t>
      </w:r>
      <w:r w:rsidRPr="00093F56">
        <w:rPr>
          <w:b/>
          <w:sz w:val="28"/>
          <w:szCs w:val="28"/>
        </w:rPr>
        <w:t xml:space="preserve"> округа Навашинский».</w:t>
      </w:r>
    </w:p>
    <w:p w:rsidR="00093F56" w:rsidRPr="00093F56" w:rsidRDefault="00093F56" w:rsidP="00093F56">
      <w:pPr>
        <w:spacing w:after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решения задачи предусмотрена реализация следующего основного мероприятия: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/>
          <w:bCs/>
          <w:sz w:val="28"/>
          <w:szCs w:val="28"/>
        </w:rPr>
        <w:t>Основное мероприятие</w:t>
      </w:r>
      <w:r w:rsidRPr="00093F56">
        <w:rPr>
          <w:sz w:val="28"/>
          <w:szCs w:val="28"/>
        </w:rPr>
        <w:t xml:space="preserve"> «Развитие информационной системы управления муниципальными финансами».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Современное развитие отношений в сфере общественных финансов предъявляет новые требования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Повышение качества управления муниципальными финансами обусловлено обладанием и использованием объективной, своевременной и достоверной информации о финансовых потоках муниципального образования. Обладание такой информацией невозможно без построения интегрированного информационного пространства всех участников бюджетного процесса.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На территории муниципального образования </w:t>
      </w:r>
      <w:r w:rsidR="00336B8C">
        <w:rPr>
          <w:sz w:val="28"/>
          <w:szCs w:val="28"/>
        </w:rPr>
        <w:t>муниципальный</w:t>
      </w:r>
      <w:r w:rsidRPr="00093F56">
        <w:rPr>
          <w:sz w:val="28"/>
          <w:szCs w:val="28"/>
        </w:rPr>
        <w:t xml:space="preserve"> округ Навашинский все процедуры исполнения бюджета осуществляются финансовым органом и главными распорядителями бюджетных средств в единой информационной базе с применением электронной цифровой подписи, что позволяет в любой момент времени иметь информацию о совершенном кассовом расходе, объеме остатка средств на едином счете бюджета, поступлении доходов.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  <w:shd w:val="clear" w:color="auto" w:fill="FFFFFF"/>
        </w:rPr>
        <w:t>Модернизацию существующей информационной системы целесообразно осуществлять по следующим направлениям</w:t>
      </w:r>
      <w:r w:rsidRPr="00093F56">
        <w:rPr>
          <w:sz w:val="28"/>
          <w:szCs w:val="28"/>
        </w:rPr>
        <w:t>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повышение доступности информации о финансовой деятельности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путем публикации в открытом доступе отчетов о плановых и фактических результатах деятельности;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дальнейшая интеграция процессов составления, исполнения бюджетов и бюджетного учета;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развитие электронного документооборота;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развитие информационных ресурсов, содержащих информацию о муниципальных заданиях, оказываемых услугах и деятельности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Выполнение поставленных задач позволит создать инструментарий для принятия более обоснованных решений с целью повышения эффективности бюджетных расходов.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поставленных целей предусмотрен следующий индикатор Программы: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- доля участников бюджетного процесса, а также муниципальных бюджетных и автономных учреждений, вовлеченных в электронный документооборот, в общем количестве участников бюджетного процесса, а также муниципальных бюджетных и автономных учреждений.</w:t>
      </w:r>
    </w:p>
    <w:p w:rsidR="00093F56" w:rsidRPr="00093F56" w:rsidRDefault="00093F56" w:rsidP="00093F56">
      <w:pPr>
        <w:spacing w:after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результате реализации данного мероприятия документооборот с участниками бюджетного процесса, а также с муниципальными бюджетными и автономными учреждениями, будет осуществляться с использованием телекоммуникационных каналов связи.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 xml:space="preserve">Задача «Обеспечение открытости и прозрачности информации о бюджетном процессе и деятельности органов местного самоуправления </w:t>
      </w:r>
      <w:r>
        <w:rPr>
          <w:b/>
          <w:sz w:val="28"/>
          <w:szCs w:val="28"/>
        </w:rPr>
        <w:t>муниципального</w:t>
      </w:r>
      <w:r w:rsidRPr="00093F56">
        <w:rPr>
          <w:b/>
          <w:sz w:val="28"/>
          <w:szCs w:val="28"/>
        </w:rPr>
        <w:t xml:space="preserve"> округа».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>В рамках решения задачи предусмотрена реализация следующих основных мероприятий:</w:t>
      </w:r>
    </w:p>
    <w:p w:rsidR="00093F56" w:rsidRPr="00093F56" w:rsidRDefault="00093F56" w:rsidP="00093F56">
      <w:pPr>
        <w:spacing w:before="240"/>
        <w:ind w:firstLine="709"/>
        <w:jc w:val="both"/>
        <w:rPr>
          <w:color w:val="000000"/>
          <w:sz w:val="28"/>
          <w:szCs w:val="28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>«</w:t>
      </w:r>
      <w:r w:rsidRPr="00093F56">
        <w:rPr>
          <w:color w:val="000000"/>
          <w:sz w:val="28"/>
          <w:szCs w:val="28"/>
        </w:rPr>
        <w:t>Повышение открытости информации о бюджетном процессе».</w:t>
      </w:r>
    </w:p>
    <w:p w:rsidR="00093F56" w:rsidRPr="00093F56" w:rsidRDefault="00093F56" w:rsidP="00093F56">
      <w:pPr>
        <w:ind w:firstLine="709"/>
        <w:jc w:val="both"/>
        <w:rPr>
          <w:color w:val="000000"/>
          <w:sz w:val="28"/>
          <w:szCs w:val="28"/>
        </w:rPr>
      </w:pPr>
      <w:r w:rsidRPr="00093F56">
        <w:rPr>
          <w:color w:val="000000"/>
          <w:sz w:val="28"/>
          <w:szCs w:val="28"/>
        </w:rPr>
        <w:t>Социально-экономическая и бюджетная политика государства осуществляется в интересах граждан. Успех ее реализации зависит главным образом от того, в какой мере население понимает эту политику, разделяет цели, механизмы и принципы ее реализации, доверяет ей. Для этого необходимо обеспечить доведение до граждан полной и объективной информации о том, в каком объеме, на какие цели и насколько эффективно расходуются средства.</w:t>
      </w:r>
    </w:p>
    <w:p w:rsidR="00093F56" w:rsidRPr="00093F56" w:rsidRDefault="00093F56" w:rsidP="00093F56">
      <w:pPr>
        <w:ind w:firstLine="709"/>
        <w:jc w:val="both"/>
        <w:rPr>
          <w:color w:val="000000"/>
          <w:sz w:val="28"/>
          <w:szCs w:val="28"/>
        </w:rPr>
      </w:pPr>
      <w:r w:rsidRPr="00093F56">
        <w:rPr>
          <w:color w:val="000000"/>
          <w:sz w:val="28"/>
          <w:szCs w:val="28"/>
        </w:rPr>
        <w:t xml:space="preserve">Обеспечение открытости, прозрачности и доступности информации о бюджетном процессе будет являться одним из приоритетных направлений бюджетной политики администрации </w:t>
      </w:r>
      <w:r>
        <w:rPr>
          <w:color w:val="000000"/>
          <w:sz w:val="28"/>
          <w:szCs w:val="28"/>
        </w:rPr>
        <w:t>муниципального</w:t>
      </w:r>
      <w:r w:rsidRPr="00093F56">
        <w:rPr>
          <w:color w:val="000000"/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целях повышения открытости и прозрачности бюджетного процесса в </w:t>
      </w:r>
      <w:r w:rsidR="00336B8C">
        <w:rPr>
          <w:sz w:val="28"/>
          <w:szCs w:val="28"/>
        </w:rPr>
        <w:t>муниципальном</w:t>
      </w:r>
      <w:r w:rsidRPr="00093F56">
        <w:rPr>
          <w:sz w:val="28"/>
          <w:szCs w:val="28"/>
        </w:rPr>
        <w:t xml:space="preserve"> округе Навашинский: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ежегодно проводятся публичные слушания по проекту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по отчету об исполнении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в 2014 году впервые по бюджету на 2014 год подготовлен информационный сборник «Бюджет для граждан», который в доступной форме познакомил население района с основными положениями главного финансового документа – решения о бюджете;</w:t>
      </w:r>
    </w:p>
    <w:p w:rsidR="00093F56" w:rsidRPr="00093F56" w:rsidRDefault="00093F56" w:rsidP="00093F56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- регулярно размещается на официальном портале органов местного самоуправления Нижегородской области </w:t>
      </w:r>
      <w:r w:rsidR="00336B8C">
        <w:rPr>
          <w:sz w:val="28"/>
          <w:szCs w:val="28"/>
          <w:lang w:eastAsia="x-none"/>
        </w:rPr>
        <w:t>муниципальный</w:t>
      </w:r>
      <w:r w:rsidRPr="00093F56">
        <w:rPr>
          <w:sz w:val="28"/>
          <w:szCs w:val="28"/>
          <w:lang w:val="x-none" w:eastAsia="x-none"/>
        </w:rPr>
        <w:t xml:space="preserve"> округ Навашинский отчетность об исполнении бюджета.</w:t>
      </w:r>
    </w:p>
    <w:p w:rsidR="00093F56" w:rsidRPr="00093F56" w:rsidRDefault="00093F56" w:rsidP="00093F56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093F56">
        <w:rPr>
          <w:sz w:val="28"/>
          <w:szCs w:val="28"/>
        </w:rPr>
        <w:t xml:space="preserve">В рамках реализации Программы будет продолжена и развита реализация всех вышеуказанных направлений по повышению открытости и прозрачности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>На постоянной основе будет обеспечено:</w:t>
      </w:r>
    </w:p>
    <w:p w:rsidR="00093F56" w:rsidRPr="00093F56" w:rsidRDefault="00093F56" w:rsidP="00093F56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093F56">
        <w:rPr>
          <w:sz w:val="28"/>
          <w:szCs w:val="28"/>
        </w:rPr>
        <w:t xml:space="preserve">- размещение в информационно-телекоммуникационной сети «Интернет» решения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 очередной финансовый год и плановый период и отчета об исполнении бюджета за отчетный финансовый год в </w:t>
      </w:r>
      <w:r w:rsidRPr="00093F56">
        <w:rPr>
          <w:sz w:val="28"/>
          <w:szCs w:val="28"/>
        </w:rPr>
        <w:lastRenderedPageBreak/>
        <w:t>понятной для граждан форме – «Бюджет для граждан»;</w:t>
      </w:r>
    </w:p>
    <w:p w:rsidR="00093F56" w:rsidRPr="00093F56" w:rsidRDefault="00093F56" w:rsidP="00093F56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093F56">
        <w:rPr>
          <w:sz w:val="28"/>
          <w:szCs w:val="28"/>
        </w:rPr>
        <w:t xml:space="preserve">- размещение в информационно-телекоммуникационной сети «Интернет» ежемесячной информации об исполнении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результате реализации данного мероприятия повышение открытости и прозрачности информации по бюджетному процессу в </w:t>
      </w:r>
      <w:r w:rsidR="00336B8C">
        <w:rPr>
          <w:sz w:val="28"/>
          <w:szCs w:val="28"/>
        </w:rPr>
        <w:t>муниципальном</w:t>
      </w:r>
      <w:r w:rsidRPr="00093F56">
        <w:rPr>
          <w:sz w:val="28"/>
          <w:szCs w:val="28"/>
        </w:rPr>
        <w:t xml:space="preserve"> округе обеспечит прирост посещаемости официального сайта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к предыдущему году.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>«Участие финансового органа в НП «Союз финансистов России».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2009 году Управление финансов Администрации Навашинского района вступило в секцию «Финансисты муниципальных образований» Некоммерческого партнерства «Сообщество финансистов России» и стало в нем представителем единственного муниципального района Нижегородской области. Работа в Сообществе заключается в выработке предложений, замечаний по внесению поправок в действующее бюджетное и налоговое законодательство и разработке новых законодательных актов, позволяющих муниципальным образованиям эффективно работать по увеличению доходной базы и сбалансированности бюджетов, а также упрощать отдельные моменты в работе, которые негативно сказываются на применении положений действующих законов.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Совместная работа членов Сообщества укрепляет и совершенствует связи между финансовыми органами всех уровней, позволяет обмениваться опытом в практической деятельности.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>Благодаря членству в Сообществе финансистов России в Навашинском муниципальном районе в 2010 году успешно разработан и принят пакет нормативных правовых актов, реализующих Федеральный закон от 8 мая 2010 года № 83- 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являющийся важным этапом бюджетной реформы, которая направлена на повышение эффективности бюджетных</w:t>
      </w:r>
      <w:proofErr w:type="gramEnd"/>
      <w:r w:rsidRPr="00093F56">
        <w:rPr>
          <w:sz w:val="28"/>
          <w:szCs w:val="28"/>
        </w:rPr>
        <w:t xml:space="preserve"> расходов по обеспечению потребностей в муниципальных услугах, увеличению их доступности и качества, выполнению муниципальных функций и социально-экономического развития территории в целом.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реализации Программы будет продолжено участие Управления финансов в НП «Союз финансистов России».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поставленных целей предусмотрен следующий индикатор Программы:</w:t>
      </w:r>
    </w:p>
    <w:p w:rsidR="00093F56" w:rsidRPr="00093F56" w:rsidRDefault="00093F56" w:rsidP="00093F56">
      <w:pPr>
        <w:ind w:firstLine="709"/>
        <w:jc w:val="both"/>
        <w:rPr>
          <w:bCs/>
          <w:sz w:val="28"/>
          <w:szCs w:val="28"/>
        </w:rPr>
      </w:pPr>
      <w:r w:rsidRPr="00093F56">
        <w:rPr>
          <w:bCs/>
          <w:sz w:val="28"/>
          <w:szCs w:val="28"/>
        </w:rPr>
        <w:t>- количество письменных ответов на запросы НП «</w:t>
      </w:r>
      <w:r w:rsidRPr="00093F56">
        <w:rPr>
          <w:sz w:val="28"/>
          <w:szCs w:val="28"/>
        </w:rPr>
        <w:t>Союз финансистов России» по обмену опытом</w:t>
      </w:r>
      <w:r w:rsidRPr="00093F56">
        <w:rPr>
          <w:bCs/>
          <w:sz w:val="28"/>
          <w:szCs w:val="28"/>
        </w:rPr>
        <w:t>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 xml:space="preserve">В результате реализации данного мероприятия будет обеспечен доступ Управлению финансов к необходимой (актуальной) методологической, статистической и ведомственной информации профессионального назначения открытого характера, информационный обмен опытом </w:t>
      </w:r>
      <w:r w:rsidRPr="00093F56">
        <w:rPr>
          <w:iCs/>
          <w:sz w:val="28"/>
          <w:szCs w:val="28"/>
        </w:rPr>
        <w:t xml:space="preserve">по актуальным проблемам и практическим вопросам деятельности финансовых органов других регионов Российской Федерации, </w:t>
      </w:r>
      <w:r w:rsidRPr="00093F56">
        <w:rPr>
          <w:sz w:val="28"/>
          <w:szCs w:val="28"/>
        </w:rPr>
        <w:t xml:space="preserve">что способствует одерживать победу во всероссийских, </w:t>
      </w:r>
      <w:r w:rsidRPr="00093F56">
        <w:rPr>
          <w:sz w:val="28"/>
          <w:szCs w:val="28"/>
        </w:rPr>
        <w:lastRenderedPageBreak/>
        <w:t>региональных конкурсах в сфере повышения эффективности бюджетных расходов.</w:t>
      </w:r>
      <w:proofErr w:type="gramEnd"/>
    </w:p>
    <w:p w:rsidR="00093F56" w:rsidRPr="00093F56" w:rsidRDefault="00093F56" w:rsidP="00093F56">
      <w:pPr>
        <w:spacing w:before="240"/>
        <w:ind w:firstLine="709"/>
        <w:jc w:val="both"/>
        <w:rPr>
          <w:color w:val="000000"/>
          <w:sz w:val="28"/>
          <w:szCs w:val="28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>«</w:t>
      </w:r>
      <w:r w:rsidRPr="00093F56">
        <w:rPr>
          <w:color w:val="000000"/>
          <w:sz w:val="28"/>
          <w:szCs w:val="28"/>
        </w:rPr>
        <w:t>Обеспечение деятельности</w:t>
      </w:r>
      <w:r w:rsidRPr="00093F56">
        <w:rPr>
          <w:sz w:val="28"/>
          <w:szCs w:val="28"/>
        </w:rPr>
        <w:t xml:space="preserve"> финансового органа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</w:t>
      </w:r>
      <w:r w:rsidRPr="00093F56">
        <w:rPr>
          <w:color w:val="000000"/>
          <w:sz w:val="28"/>
          <w:szCs w:val="28"/>
        </w:rPr>
        <w:t>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Обеспечение реализации Программы будет осуществлено посредством реализации основного мероприятия «Обеспечение деятельности</w:t>
      </w:r>
      <w:r w:rsidRPr="00093F56">
        <w:rPr>
          <w:rFonts w:ascii="Arial" w:hAnsi="Arial" w:cs="Arial"/>
          <w:sz w:val="28"/>
          <w:szCs w:val="28"/>
        </w:rPr>
        <w:t xml:space="preserve"> </w:t>
      </w:r>
      <w:r w:rsidRPr="00093F56">
        <w:rPr>
          <w:sz w:val="28"/>
          <w:szCs w:val="28"/>
        </w:rPr>
        <w:t xml:space="preserve">финансового органа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округа»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Управление финансов входит в структуру Администрации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является органом, обеспечивающим проведение единой финансовой, бюджетной и налоговой государственной политики, осуществляющим функции по контролю и надзору в финансово-бюджетной сфере на территории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контролю в сфере закупок в соответствии с действующим законодательством.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Основой деятельности Управления финансов является выработка и реализация на территории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единой налоговой, финансовой и бюджетной политики, обеспечивающей сбалансированность и устойчивость бюджетной системы, полное и своевременное исполнение всех расходных обязательств, в первую очередь перед гражданами, обеспечение в округе единого методологического подхода к ведению бюджетного учета и отчетности.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реализации основного мероприятия Программы предусмотрено: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администрирование расходов на содержание и обеспечение деятельности Управления финансов;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кадровое и финансовое обеспечение для решения задач по реализации муниципальной программы.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 xml:space="preserve">Ежегодно после принятия решения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 на очередной финансовый год и плановый период будет разрабатываться план реализации Программы, содержащий перечень программных мероприятий с указанием сроков их выполнения, ответственных исполнителей, бюджетных ассигнований.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Для достижения поставленных целей Управлением финансов будет разработан для утверждения План реализации мероприятий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Результаты реализации Программы и программных мероприятий на постоянной основе будут размещаться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результате реализации данного мероприятия будет обеспечено выполнение мероприятий Программы в полном объеме.</w:t>
      </w:r>
    </w:p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</w:pPr>
    </w:p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  <w:sectPr w:rsidR="00093F56" w:rsidRPr="00093F56" w:rsidSect="00DB6C0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Таблица 1. Перечень основных мероприятий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688"/>
        <w:gridCol w:w="1547"/>
        <w:gridCol w:w="6"/>
        <w:gridCol w:w="983"/>
        <w:gridCol w:w="7"/>
        <w:gridCol w:w="1545"/>
        <w:gridCol w:w="9"/>
        <w:gridCol w:w="1078"/>
        <w:gridCol w:w="6"/>
        <w:gridCol w:w="8"/>
        <w:gridCol w:w="1092"/>
        <w:gridCol w:w="1094"/>
        <w:gridCol w:w="1093"/>
        <w:gridCol w:w="1094"/>
        <w:gridCol w:w="1094"/>
        <w:gridCol w:w="1278"/>
      </w:tblGrid>
      <w:tr w:rsidR="00093F56" w:rsidRPr="00093F56" w:rsidTr="00DB6C0E">
        <w:trPr>
          <w:tblHeader/>
        </w:trPr>
        <w:tc>
          <w:tcPr>
            <w:tcW w:w="688" w:type="dxa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№ </w:t>
            </w:r>
            <w:proofErr w:type="gramStart"/>
            <w:r w:rsidRPr="00093F56">
              <w:rPr>
                <w:sz w:val="22"/>
                <w:szCs w:val="22"/>
              </w:rPr>
              <w:t>п</w:t>
            </w:r>
            <w:proofErr w:type="gramEnd"/>
            <w:r w:rsidRPr="00093F56">
              <w:rPr>
                <w:sz w:val="22"/>
                <w:szCs w:val="22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547" w:type="dxa"/>
            <w:vMerge w:val="restart"/>
            <w:vAlign w:val="center"/>
          </w:tcPr>
          <w:p w:rsidR="00093F56" w:rsidRPr="00093F56" w:rsidRDefault="00093F56" w:rsidP="00391274">
            <w:pPr>
              <w:ind w:left="-81"/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Категория расходов (капвложения</w:t>
            </w:r>
            <w:r w:rsidR="00391274">
              <w:rPr>
                <w:sz w:val="22"/>
                <w:szCs w:val="22"/>
              </w:rPr>
              <w:t>,</w:t>
            </w:r>
            <w:r w:rsidRPr="00093F56">
              <w:rPr>
                <w:sz w:val="22"/>
                <w:szCs w:val="22"/>
              </w:rPr>
              <w:t xml:space="preserve"> НИОКР и прочие расходы)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093F56">
              <w:rPr>
                <w:sz w:val="22"/>
                <w:szCs w:val="22"/>
              </w:rPr>
              <w:t>выпол</w:t>
            </w:r>
            <w:proofErr w:type="spellEnd"/>
            <w:r w:rsidRPr="00093F56">
              <w:rPr>
                <w:sz w:val="22"/>
                <w:szCs w:val="22"/>
              </w:rPr>
              <w:t xml:space="preserve"> нения</w:t>
            </w:r>
            <w:proofErr w:type="gramEnd"/>
            <w:r w:rsidRPr="00093F56">
              <w:rPr>
                <w:sz w:val="22"/>
                <w:szCs w:val="22"/>
              </w:rPr>
              <w:t xml:space="preserve"> (год)</w:t>
            </w:r>
          </w:p>
        </w:tc>
        <w:tc>
          <w:tcPr>
            <w:tcW w:w="1552" w:type="dxa"/>
            <w:gridSpan w:val="2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7846" w:type="dxa"/>
            <w:gridSpan w:val="10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Объем финансирования (по годам) за счет средств бюджета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Навашинский, тыс. руб.</w:t>
            </w:r>
          </w:p>
        </w:tc>
      </w:tr>
      <w:tr w:rsidR="00093F56" w:rsidRPr="00093F56" w:rsidTr="00DB6C0E">
        <w:trPr>
          <w:tblHeader/>
        </w:trPr>
        <w:tc>
          <w:tcPr>
            <w:tcW w:w="688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2023 год</w:t>
            </w:r>
          </w:p>
        </w:tc>
        <w:tc>
          <w:tcPr>
            <w:tcW w:w="1106" w:type="dxa"/>
            <w:gridSpan w:val="3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2024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2025 год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2026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2027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278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Всего</w:t>
            </w:r>
          </w:p>
        </w:tc>
      </w:tr>
      <w:tr w:rsidR="00093F56" w:rsidRPr="00093F56" w:rsidTr="00DB6C0E">
        <w:tc>
          <w:tcPr>
            <w:tcW w:w="7464" w:type="dxa"/>
            <w:gridSpan w:val="7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 на 2023-2028 годы»</w:t>
            </w:r>
          </w:p>
        </w:tc>
        <w:tc>
          <w:tcPr>
            <w:tcW w:w="1087" w:type="dxa"/>
            <w:gridSpan w:val="2"/>
            <w:vAlign w:val="center"/>
          </w:tcPr>
          <w:p w:rsidR="00093F56" w:rsidRPr="00093F56" w:rsidRDefault="00093F56" w:rsidP="00093F56">
            <w:pPr>
              <w:widowControl/>
              <w:ind w:right="-58"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106" w:type="dxa"/>
            <w:gridSpan w:val="3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E01401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01401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E01401">
              <w:rPr>
                <w:sz w:val="22"/>
                <w:szCs w:val="22"/>
              </w:rPr>
              <w:t>64906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3912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391274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3912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91274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391274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3912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91274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391274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c>
          <w:tcPr>
            <w:tcW w:w="7464" w:type="dxa"/>
            <w:gridSpan w:val="7"/>
          </w:tcPr>
          <w:p w:rsidR="00093F56" w:rsidRPr="00093F56" w:rsidRDefault="00093F56" w:rsidP="00093F56">
            <w:pPr>
              <w:ind w:firstLine="33"/>
              <w:jc w:val="both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>Цели Программы:</w:t>
            </w:r>
            <w:r w:rsidRPr="00093F56">
              <w:rPr>
                <w:sz w:val="22"/>
                <w:szCs w:val="22"/>
              </w:rPr>
              <w:t xml:space="preserve"> </w:t>
            </w:r>
          </w:p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Создание условий для повышения эффективности деятельности органов местного самоуправления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 по выполнению муниципальных функций и </w:t>
            </w:r>
            <w:r w:rsidRPr="00093F56">
              <w:rPr>
                <w:spacing w:val="1"/>
                <w:sz w:val="22"/>
                <w:szCs w:val="22"/>
                <w:shd w:val="clear" w:color="auto" w:fill="FFFFFF"/>
              </w:rPr>
              <w:t>повышения качества бюджетного процесса</w:t>
            </w:r>
          </w:p>
        </w:tc>
        <w:tc>
          <w:tcPr>
            <w:tcW w:w="7846" w:type="dxa"/>
            <w:gridSpan w:val="10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х</w:t>
            </w:r>
          </w:p>
        </w:tc>
      </w:tr>
      <w:tr w:rsidR="00093F56" w:rsidRPr="00093F56" w:rsidTr="00DB6C0E"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Задача «Обеспечение сбалансированности и устойчивости бюджета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Обеспечение сбалансированности и устойчивости бюджета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547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2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3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00" w:type="dxa"/>
            <w:gridSpan w:val="2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8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Разработка и реализация муниципальных программ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547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округа, Субъекты бюджетного планирования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093" w:type="dxa"/>
            <w:gridSpan w:val="3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</w:tr>
      <w:tr w:rsidR="00093F56" w:rsidRPr="00093F56" w:rsidTr="00DB6C0E"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Задача «Развитие информационной системы управления муниципальными финансами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E0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93F56" w:rsidRPr="00093F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52900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8D222C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  <w:lang w:val="en-US"/>
              </w:rPr>
              <w:t>,</w:t>
            </w:r>
            <w:r w:rsidR="008D222C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8D222C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  <w:lang w:val="en-US"/>
              </w:rPr>
              <w:t>,</w:t>
            </w:r>
            <w:r w:rsidR="008D222C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8D22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989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632"/>
        </w:trPr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b/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>Задача «Обеспечение открытости и прозрачности информации о бюджетном процессе и деятельности</w:t>
            </w:r>
          </w:p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органов местного самоуправления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color w:val="000000"/>
                <w:sz w:val="22"/>
                <w:szCs w:val="22"/>
              </w:rPr>
              <w:t>Повышение открытости информации о бюджетном процессе</w:t>
            </w:r>
          </w:p>
        </w:tc>
        <w:tc>
          <w:tcPr>
            <w:tcW w:w="1553" w:type="dxa"/>
            <w:gridSpan w:val="2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8D222C">
            <w:pPr>
              <w:widowControl/>
              <w:ind w:left="-73" w:right="-149"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округа, Управление финансов</w:t>
            </w:r>
          </w:p>
        </w:tc>
        <w:tc>
          <w:tcPr>
            <w:tcW w:w="1092" w:type="dxa"/>
            <w:gridSpan w:val="3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5.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color w:val="000000"/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Участие финансового органа в НП «Союз финансистов России»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3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8D222C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color w:val="000000"/>
                <w:sz w:val="22"/>
                <w:szCs w:val="22"/>
              </w:rPr>
            </w:pPr>
            <w:r w:rsidRPr="00093F56">
              <w:rPr>
                <w:color w:val="000000"/>
                <w:sz w:val="22"/>
                <w:szCs w:val="22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2"/>
                <w:szCs w:val="22"/>
              </w:rPr>
              <w:t>муниципального</w:t>
            </w:r>
            <w:r w:rsidRPr="00093F56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16621,93777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17196,98501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E0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8D222C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8D222C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8D222C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8D222C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8D222C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8D222C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E01401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  <w:lang w:val="en-US"/>
              </w:rPr>
              <w:instrText xml:space="preserve"> =SUM(LEFT)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113063,04284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</w:pPr>
    </w:p>
    <w:p w:rsidR="00093F56" w:rsidRPr="00093F56" w:rsidRDefault="00093F56" w:rsidP="00093F56">
      <w:pPr>
        <w:widowControl/>
        <w:spacing w:before="240"/>
        <w:jc w:val="center"/>
        <w:outlineLvl w:val="1"/>
        <w:rPr>
          <w:b/>
          <w:color w:val="00B050"/>
          <w:sz w:val="28"/>
          <w:szCs w:val="28"/>
        </w:rPr>
        <w:sectPr w:rsidR="00093F56" w:rsidRPr="00093F56" w:rsidSect="00DB6C0E">
          <w:pgSz w:w="16838" w:h="11906" w:orient="landscape"/>
          <w:pgMar w:top="1304" w:right="1134" w:bottom="851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spacing w:before="240"/>
        <w:jc w:val="center"/>
        <w:rPr>
          <w:b/>
          <w:bCs/>
          <w:sz w:val="28"/>
          <w:szCs w:val="28"/>
        </w:rPr>
      </w:pPr>
      <w:r w:rsidRPr="00093F56">
        <w:rPr>
          <w:b/>
          <w:bCs/>
          <w:sz w:val="28"/>
          <w:szCs w:val="28"/>
        </w:rPr>
        <w:lastRenderedPageBreak/>
        <w:t xml:space="preserve">6. </w:t>
      </w:r>
      <w:r w:rsidRPr="00093F56">
        <w:rPr>
          <w:b/>
          <w:sz w:val="28"/>
          <w:szCs w:val="28"/>
        </w:rPr>
        <w:t>Индикаторы достижения цели и непосредственные результаты реализации Программы.</w:t>
      </w:r>
    </w:p>
    <w:p w:rsidR="00093F56" w:rsidRPr="00093F56" w:rsidRDefault="00093F56" w:rsidP="00093F56">
      <w:pPr>
        <w:spacing w:before="240"/>
        <w:ind w:firstLine="709"/>
        <w:jc w:val="both"/>
        <w:rPr>
          <w:b/>
          <w:sz w:val="28"/>
          <w:szCs w:val="28"/>
        </w:rPr>
      </w:pPr>
      <w:r w:rsidRPr="00093F56">
        <w:rPr>
          <w:bCs/>
          <w:sz w:val="28"/>
          <w:szCs w:val="28"/>
        </w:rPr>
        <w:t>Достижение цели Программы будет оцениваться на основе данных статистической и ведомственной отчетности в соответствии с индикаторами достижения цели по Программе, представленными в таблице 2.</w:t>
      </w:r>
    </w:p>
    <w:p w:rsidR="00093F56" w:rsidRPr="00093F56" w:rsidRDefault="00093F56" w:rsidP="00093F56">
      <w:pPr>
        <w:widowControl/>
        <w:ind w:left="6120"/>
        <w:jc w:val="right"/>
        <w:outlineLvl w:val="2"/>
        <w:rPr>
          <w:sz w:val="28"/>
          <w:szCs w:val="28"/>
        </w:rPr>
        <w:sectPr w:rsidR="00093F56" w:rsidRPr="00093F56" w:rsidSect="00DB6C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widowControl/>
        <w:jc w:val="center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Таблица 2. Сведения об индикаторах достижения цели и непосредственных результатах</w:t>
      </w:r>
    </w:p>
    <w:p w:rsidR="00093F56" w:rsidRPr="00093F56" w:rsidRDefault="00093F56" w:rsidP="00093F56">
      <w:pPr>
        <w:widowControl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"/>
        <w:gridCol w:w="3396"/>
        <w:gridCol w:w="2551"/>
        <w:gridCol w:w="1134"/>
        <w:gridCol w:w="1012"/>
        <w:gridCol w:w="1012"/>
        <w:gridCol w:w="1012"/>
        <w:gridCol w:w="1012"/>
        <w:gridCol w:w="1012"/>
        <w:gridCol w:w="1012"/>
        <w:gridCol w:w="1012"/>
        <w:gridCol w:w="996"/>
        <w:gridCol w:w="16"/>
      </w:tblGrid>
      <w:tr w:rsidR="00093F56" w:rsidRPr="00093F56" w:rsidTr="00DB6C0E">
        <w:trPr>
          <w:trHeight w:val="480"/>
          <w:tblHeader/>
        </w:trPr>
        <w:tc>
          <w:tcPr>
            <w:tcW w:w="540" w:type="dxa"/>
            <w:gridSpan w:val="2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№ </w:t>
            </w:r>
            <w:proofErr w:type="gramStart"/>
            <w:r w:rsidRPr="00093F56">
              <w:rPr>
                <w:sz w:val="24"/>
                <w:szCs w:val="24"/>
              </w:rPr>
              <w:t>п</w:t>
            </w:r>
            <w:proofErr w:type="gramEnd"/>
            <w:r w:rsidRPr="00093F56">
              <w:rPr>
                <w:sz w:val="24"/>
                <w:szCs w:val="24"/>
              </w:rPr>
              <w:t>/п</w:t>
            </w:r>
          </w:p>
        </w:tc>
        <w:tc>
          <w:tcPr>
            <w:tcW w:w="3396" w:type="dxa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Наименование индикатора достижения цели/ непосредственного результата</w:t>
            </w:r>
          </w:p>
        </w:tc>
        <w:tc>
          <w:tcPr>
            <w:tcW w:w="2551" w:type="dxa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Ответственный исполнитель/</w:t>
            </w:r>
            <w:proofErr w:type="spellStart"/>
            <w:proofErr w:type="gramStart"/>
            <w:r w:rsidRPr="00093F56">
              <w:rPr>
                <w:sz w:val="24"/>
                <w:szCs w:val="24"/>
              </w:rPr>
              <w:t>соиспол-нитель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093F56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8096" w:type="dxa"/>
            <w:gridSpan w:val="9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Значение индикатора достижения цели/ непосредственного результата</w:t>
            </w:r>
          </w:p>
        </w:tc>
      </w:tr>
      <w:tr w:rsidR="00093F56" w:rsidRPr="00093F56" w:rsidTr="00DB6C0E">
        <w:trPr>
          <w:trHeight w:val="480"/>
          <w:tblHeader/>
        </w:trPr>
        <w:tc>
          <w:tcPr>
            <w:tcW w:w="540" w:type="dxa"/>
            <w:gridSpan w:val="2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2021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2022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1. «Обеспечение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Отношение муниципального долга (за вычетом выданных гарантий)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лиц;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</w:rPr>
              <w:t>&lt;10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Отношение дефицита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без учета объема безвозмездных поступлений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Объем муниципального долга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находится на экономически безопасном уровне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2. «Разработка и реализация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Доля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округа, </w:t>
            </w:r>
            <w:r w:rsidRPr="00093F56">
              <w:rPr>
                <w:sz w:val="24"/>
                <w:szCs w:val="24"/>
              </w:rPr>
              <w:lastRenderedPageBreak/>
              <w:t xml:space="preserve">формируемых в рамках муниципальных программ, в общем объеме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(без учета субвенций на исполнение делегируемых полномочий)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lastRenderedPageBreak/>
              <w:t xml:space="preserve">Субъекты бюджетного </w:t>
            </w:r>
            <w:r w:rsidRPr="00093F56">
              <w:rPr>
                <w:sz w:val="24"/>
                <w:szCs w:val="24"/>
              </w:rPr>
              <w:lastRenderedPageBreak/>
              <w:t xml:space="preserve">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90,4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93,0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</w:tr>
      <w:tr w:rsidR="00093F56" w:rsidRPr="00093F56" w:rsidTr="00DB6C0E">
        <w:trPr>
          <w:trHeight w:val="1676"/>
        </w:trPr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8"/>
                <w:szCs w:val="28"/>
              </w:rPr>
            </w:pPr>
            <w:r w:rsidRPr="00093F56">
              <w:rPr>
                <w:rFonts w:cs="Arial"/>
                <w:sz w:val="24"/>
                <w:szCs w:val="24"/>
              </w:rPr>
              <w:t xml:space="preserve">Доля расходов бюджета </w:t>
            </w:r>
            <w:r>
              <w:rPr>
                <w:rFonts w:cs="Arial"/>
                <w:sz w:val="24"/>
                <w:szCs w:val="24"/>
              </w:rPr>
              <w:t>муниципального</w:t>
            </w:r>
            <w:r w:rsidRPr="00093F56">
              <w:rPr>
                <w:rFonts w:cs="Arial"/>
                <w:sz w:val="24"/>
                <w:szCs w:val="24"/>
              </w:rPr>
              <w:t xml:space="preserve"> округа на осуществление бюджетных инвестиций, осуществляемых в рамках муниципальных программ, %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 xml:space="preserve">Субъекты бюджетного 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 xml:space="preserve">Доля муниципальных программ </w:t>
            </w:r>
            <w:r>
              <w:rPr>
                <w:rFonts w:cs="Arial"/>
                <w:sz w:val="24"/>
                <w:szCs w:val="24"/>
              </w:rPr>
              <w:t>муниципального</w:t>
            </w:r>
            <w:r w:rsidRPr="00093F56">
              <w:rPr>
                <w:rFonts w:cs="Arial"/>
                <w:sz w:val="24"/>
                <w:szCs w:val="24"/>
              </w:rPr>
              <w:t xml:space="preserve"> округа, принятых в отчетном финансовом году, проекты которых прошли публичные обсуждения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 xml:space="preserve">Субъекты бюджетного 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сформирован в программном формате с учетом планируемых результатов по муниципальным программам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 xml:space="preserve">Субъекты бюджетного 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Проведена оценка эффективности реализации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в соответствии с утвержденным </w:t>
            </w:r>
            <w:r w:rsidRPr="00093F56">
              <w:rPr>
                <w:sz w:val="24"/>
                <w:szCs w:val="24"/>
              </w:rPr>
              <w:lastRenderedPageBreak/>
              <w:t>порядком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Основное мероприятие 3. «Развитие информационной системы управления муниципальными финансами»</w:t>
            </w: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3936" w:type="dxa"/>
            <w:gridSpan w:val="3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Доля участников бюджетного процесса, а также муниципальных бюджетных и автономных учреждений, вовлеченных в электронный документооборот, в общем количестве участников бюджетного процесса, а также муниципальных бюджетных и автономных учреждений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3936" w:type="dxa"/>
            <w:gridSpan w:val="3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Осуществление бюджетного процесса с использованием автоматизированных систем управления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ind w:firstLine="708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Основное мероприятие 5. «Участие финансового органа в НП «Союз финансистов России»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93F56">
              <w:rPr>
                <w:bCs/>
                <w:sz w:val="24"/>
                <w:szCs w:val="24"/>
              </w:rPr>
              <w:t>Количество письменных ответов на запросы НП «</w:t>
            </w:r>
            <w:r w:rsidRPr="00093F56">
              <w:rPr>
                <w:sz w:val="24"/>
                <w:szCs w:val="24"/>
              </w:rPr>
              <w:t>Сообщество финансистов России» по обмену опытом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Ед.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  <w:lang w:val="en-US"/>
              </w:rPr>
              <w:t>&gt;10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Обеспечение доступа к актуальной</w:t>
            </w:r>
            <w:r w:rsidRPr="00093F56">
              <w:rPr>
                <w:color w:val="333333"/>
                <w:sz w:val="28"/>
                <w:szCs w:val="28"/>
              </w:rPr>
              <w:t xml:space="preserve"> </w:t>
            </w:r>
            <w:r w:rsidRPr="00093F56">
              <w:rPr>
                <w:sz w:val="24"/>
                <w:szCs w:val="24"/>
              </w:rPr>
              <w:t xml:space="preserve">информации профессионального </w:t>
            </w:r>
            <w:r w:rsidRPr="00093F56">
              <w:rPr>
                <w:sz w:val="24"/>
                <w:szCs w:val="24"/>
              </w:rPr>
              <w:lastRenderedPageBreak/>
              <w:t>назначения открытого характера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</w:tbl>
    <w:p w:rsidR="00093F56" w:rsidRPr="00093F56" w:rsidRDefault="00093F56" w:rsidP="00093F56">
      <w:pPr>
        <w:sectPr w:rsidR="00093F56" w:rsidRPr="00093F56" w:rsidSect="00DB6C0E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jc w:val="center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lastRenderedPageBreak/>
        <w:t>7. Меры правового регулирования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целях реализации основных мероприятий Программы необходимо принятие нормативных правовых актов, указанных в таблице 3.</w:t>
      </w:r>
    </w:p>
    <w:p w:rsidR="00093F56" w:rsidRPr="00093F56" w:rsidRDefault="00093F56" w:rsidP="00093F56">
      <w:pPr>
        <w:spacing w:before="240" w:after="240"/>
        <w:ind w:firstLine="720"/>
        <w:jc w:val="center"/>
        <w:outlineLvl w:val="4"/>
        <w:rPr>
          <w:sz w:val="24"/>
          <w:szCs w:val="24"/>
        </w:rPr>
      </w:pPr>
      <w:r w:rsidRPr="00093F56">
        <w:rPr>
          <w:sz w:val="28"/>
          <w:szCs w:val="28"/>
        </w:rPr>
        <w:t>Таблица 3. Сведения об основных мерах правового регулирования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3112"/>
        <w:gridCol w:w="2835"/>
        <w:gridCol w:w="1985"/>
        <w:gridCol w:w="1701"/>
      </w:tblGrid>
      <w:tr w:rsidR="00093F56" w:rsidRPr="00093F56" w:rsidTr="00DB6C0E">
        <w:tc>
          <w:tcPr>
            <w:tcW w:w="540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№ </w:t>
            </w:r>
            <w:proofErr w:type="gramStart"/>
            <w:r w:rsidRPr="00093F56">
              <w:rPr>
                <w:sz w:val="24"/>
                <w:szCs w:val="24"/>
              </w:rPr>
              <w:t>п</w:t>
            </w:r>
            <w:proofErr w:type="gramEnd"/>
            <w:r w:rsidRPr="00093F56">
              <w:rPr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Вид правового акта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Ожидаемые сроки принятия</w:t>
            </w:r>
          </w:p>
        </w:tc>
      </w:tr>
      <w:tr w:rsidR="00093F56" w:rsidRPr="00093F56" w:rsidTr="00DB6C0E">
        <w:tc>
          <w:tcPr>
            <w:tcW w:w="10173" w:type="dxa"/>
            <w:gridSpan w:val="6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</w:tr>
      <w:tr w:rsidR="00093F56" w:rsidRPr="00093F56" w:rsidTr="00DB6C0E">
        <w:tc>
          <w:tcPr>
            <w:tcW w:w="10173" w:type="dxa"/>
            <w:gridSpan w:val="6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1. «Обеспечение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Pr="00D440E3">
              <w:rPr>
                <w:sz w:val="24"/>
                <w:szCs w:val="24"/>
              </w:rPr>
              <w:t>муниципального</w:t>
            </w:r>
            <w:proofErr w:type="gramEnd"/>
            <w:r w:rsidRPr="00093F56">
              <w:rPr>
                <w:sz w:val="24"/>
                <w:szCs w:val="24"/>
              </w:rPr>
              <w:t xml:space="preserve"> округа «Об утверждении основных направлений бюджетной и налоговой политики на очередной финансовый год и плановый период»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Определяет основные направления политики в части планирования и исполнения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по доходам и расходам, управления муниципальным долгом, осуществления внутреннего муниципального финансового контроля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Ежегодно в  срок до 1 октября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Постановление Администрации </w:t>
            </w:r>
            <w:r w:rsidRPr="00D440E3"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«Об утверждении Плана мероприятий по росту доходов, оптимизации расходов и совершенствованию долговой политики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текущий финансовый год и плановый период»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Утверждает План мероприятий по росту доходов, оптимизации расходов и совершенствованию долговой политики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текущий финансовый год и плановый период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Ежегодно в срок до 1 февраля</w:t>
            </w:r>
          </w:p>
        </w:tc>
      </w:tr>
      <w:tr w:rsidR="00093F56" w:rsidRPr="00093F56" w:rsidTr="00DB6C0E">
        <w:tc>
          <w:tcPr>
            <w:tcW w:w="10173" w:type="dxa"/>
            <w:gridSpan w:val="6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Основное мероприятие 6. «</w:t>
            </w:r>
            <w:r w:rsidRPr="00093F56">
              <w:rPr>
                <w:color w:val="000000"/>
                <w:sz w:val="24"/>
                <w:szCs w:val="24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Pr="00093F56">
              <w:rPr>
                <w:color w:val="000000"/>
                <w:sz w:val="24"/>
                <w:szCs w:val="24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540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3.</w:t>
            </w:r>
          </w:p>
        </w:tc>
        <w:tc>
          <w:tcPr>
            <w:tcW w:w="3112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Постановление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«Об утверждении плана реализации мероприятий Программы»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 xml:space="preserve">Утверждает подробный план действий ответственного исполнителя и соисполнителей Программы с указанием конкретных мероприятий, сроков исполнения и ответственных исполнителей по </w:t>
            </w:r>
            <w:r w:rsidRPr="00093F56">
              <w:rPr>
                <w:rFonts w:cs="Arial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Ежегодно в течение трех недель со дня вступления в силу решения Совета депутатов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о бюджете </w:t>
            </w:r>
            <w:r>
              <w:rPr>
                <w:sz w:val="24"/>
                <w:szCs w:val="24"/>
              </w:rPr>
              <w:lastRenderedPageBreak/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 очередной финансовый год и плановый период</w:t>
            </w:r>
          </w:p>
        </w:tc>
      </w:tr>
    </w:tbl>
    <w:p w:rsidR="00093F56" w:rsidRPr="00093F56" w:rsidRDefault="00093F56" w:rsidP="00093F56">
      <w:pPr>
        <w:jc w:val="center"/>
        <w:rPr>
          <w:b/>
          <w:sz w:val="28"/>
          <w:szCs w:val="28"/>
        </w:rPr>
      </w:pPr>
    </w:p>
    <w:p w:rsidR="00093F56" w:rsidRPr="00093F56" w:rsidRDefault="00093F56" w:rsidP="00093F56">
      <w:pPr>
        <w:jc w:val="center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8. Обоснование объема финансовых ресурсов</w:t>
      </w:r>
    </w:p>
    <w:p w:rsidR="00093F56" w:rsidRPr="00093F56" w:rsidRDefault="00093F56" w:rsidP="00093F56">
      <w:pPr>
        <w:jc w:val="center"/>
        <w:rPr>
          <w:b/>
          <w:sz w:val="28"/>
          <w:szCs w:val="28"/>
        </w:rPr>
      </w:pPr>
    </w:p>
    <w:p w:rsidR="00093F56" w:rsidRPr="00093F56" w:rsidRDefault="00093F56" w:rsidP="00093F56">
      <w:pPr>
        <w:ind w:firstLine="709"/>
        <w:jc w:val="both"/>
        <w:rPr>
          <w:rFonts w:cs="Calibri"/>
          <w:sz w:val="28"/>
          <w:szCs w:val="28"/>
        </w:rPr>
      </w:pPr>
      <w:r w:rsidRPr="00093F56">
        <w:rPr>
          <w:rFonts w:cs="Calibri"/>
          <w:sz w:val="28"/>
          <w:szCs w:val="28"/>
        </w:rPr>
        <w:t xml:space="preserve">Общий объем финансирования Программы </w:t>
      </w:r>
      <w:r w:rsidRPr="00E01401">
        <w:rPr>
          <w:rFonts w:cs="Calibri"/>
          <w:sz w:val="28"/>
          <w:szCs w:val="28"/>
        </w:rPr>
        <w:t xml:space="preserve">составляет </w:t>
      </w:r>
      <w:r w:rsidR="00E01401" w:rsidRPr="00E01401">
        <w:rPr>
          <w:sz w:val="28"/>
          <w:szCs w:val="28"/>
        </w:rPr>
        <w:t xml:space="preserve">119 744,11171 </w:t>
      </w:r>
      <w:r w:rsidRPr="00E01401">
        <w:rPr>
          <w:rFonts w:cs="Calibri"/>
          <w:sz w:val="28"/>
          <w:szCs w:val="28"/>
        </w:rPr>
        <w:t>тыс</w:t>
      </w:r>
      <w:r w:rsidRPr="00093F56">
        <w:rPr>
          <w:rFonts w:cs="Calibri"/>
          <w:color w:val="0070C0"/>
          <w:sz w:val="28"/>
          <w:szCs w:val="28"/>
        </w:rPr>
        <w:t xml:space="preserve">. </w:t>
      </w:r>
      <w:r w:rsidRPr="00093F56">
        <w:rPr>
          <w:rFonts w:cs="Calibri"/>
          <w:sz w:val="28"/>
          <w:szCs w:val="28"/>
        </w:rPr>
        <w:t xml:space="preserve">рублей, в </w:t>
      </w:r>
      <w:proofErr w:type="spellStart"/>
      <w:r w:rsidRPr="00093F56">
        <w:rPr>
          <w:rFonts w:cs="Calibri"/>
          <w:sz w:val="28"/>
          <w:szCs w:val="28"/>
        </w:rPr>
        <w:t>т.ч</w:t>
      </w:r>
      <w:proofErr w:type="spellEnd"/>
      <w:r w:rsidRPr="00093F56">
        <w:rPr>
          <w:rFonts w:cs="Calibri"/>
          <w:sz w:val="28"/>
          <w:szCs w:val="28"/>
        </w:rPr>
        <w:t xml:space="preserve">. за счет средств бюджета </w:t>
      </w:r>
      <w:r>
        <w:rPr>
          <w:rFonts w:cs="Calibri"/>
          <w:sz w:val="28"/>
          <w:szCs w:val="28"/>
        </w:rPr>
        <w:t>муниципального</w:t>
      </w:r>
      <w:r w:rsidRPr="00093F56">
        <w:rPr>
          <w:rFonts w:cs="Calibri"/>
          <w:sz w:val="28"/>
          <w:szCs w:val="28"/>
        </w:rPr>
        <w:t xml:space="preserve"> округа 11</w:t>
      </w:r>
      <w:r w:rsidR="00E01401">
        <w:rPr>
          <w:rFonts w:cs="Calibri"/>
          <w:sz w:val="28"/>
          <w:szCs w:val="28"/>
        </w:rPr>
        <w:t>8</w:t>
      </w:r>
      <w:r w:rsidRPr="00093F56">
        <w:rPr>
          <w:rFonts w:cs="Calibri"/>
          <w:sz w:val="28"/>
          <w:szCs w:val="28"/>
        </w:rPr>
        <w:t xml:space="preserve"> </w:t>
      </w:r>
      <w:r w:rsidR="00E01401">
        <w:rPr>
          <w:rFonts w:cs="Calibri"/>
          <w:sz w:val="28"/>
          <w:szCs w:val="28"/>
        </w:rPr>
        <w:t>106</w:t>
      </w:r>
      <w:r w:rsidRPr="00093F56">
        <w:rPr>
          <w:rFonts w:cs="Calibri"/>
          <w:sz w:val="28"/>
          <w:szCs w:val="28"/>
        </w:rPr>
        <w:t>,</w:t>
      </w:r>
      <w:r w:rsidR="00E01401">
        <w:rPr>
          <w:rFonts w:cs="Calibri"/>
          <w:sz w:val="28"/>
          <w:szCs w:val="28"/>
        </w:rPr>
        <w:t>63671</w:t>
      </w:r>
      <w:r w:rsidRPr="00093F56">
        <w:rPr>
          <w:rFonts w:cs="Calibri"/>
          <w:sz w:val="28"/>
          <w:szCs w:val="28"/>
        </w:rPr>
        <w:t xml:space="preserve"> тыс. рублей, за счет средств областного бюджета 800,00000 тыс. рублей, за счет средств федерального бюджета </w:t>
      </w:r>
      <w:r w:rsidR="00E01401">
        <w:rPr>
          <w:rFonts w:cs="Calibri"/>
          <w:sz w:val="28"/>
          <w:szCs w:val="28"/>
        </w:rPr>
        <w:t>83</w:t>
      </w:r>
      <w:r w:rsidRPr="00093F56">
        <w:rPr>
          <w:rFonts w:cs="Calibri"/>
          <w:sz w:val="28"/>
          <w:szCs w:val="28"/>
        </w:rPr>
        <w:t>7,47500 тыс. рублей.</w:t>
      </w:r>
    </w:p>
    <w:p w:rsidR="00093F56" w:rsidRPr="00093F56" w:rsidRDefault="00093F56" w:rsidP="00093F56">
      <w:pPr>
        <w:ind w:firstLine="709"/>
        <w:jc w:val="both"/>
        <w:rPr>
          <w:rFonts w:cs="Calibri"/>
          <w:sz w:val="28"/>
          <w:szCs w:val="28"/>
        </w:rPr>
      </w:pPr>
      <w:r w:rsidRPr="00093F56">
        <w:rPr>
          <w:rFonts w:cs="Calibri"/>
          <w:sz w:val="28"/>
          <w:szCs w:val="28"/>
        </w:rPr>
        <w:t xml:space="preserve">Объемы финансирования по Программе будут ежегодно уточняться исходя из возможностей бюджета </w:t>
      </w:r>
      <w:r>
        <w:rPr>
          <w:rFonts w:cs="Calibri"/>
          <w:sz w:val="28"/>
          <w:szCs w:val="28"/>
        </w:rPr>
        <w:t>муниципального</w:t>
      </w:r>
      <w:r w:rsidRPr="00093F56">
        <w:rPr>
          <w:rFonts w:cs="Calibri"/>
          <w:sz w:val="28"/>
          <w:szCs w:val="28"/>
        </w:rPr>
        <w:t xml:space="preserve"> округа на соответствующий период.</w:t>
      </w:r>
    </w:p>
    <w:p w:rsidR="00093F56" w:rsidRPr="00093F56" w:rsidRDefault="00093F56" w:rsidP="00093F56">
      <w:pPr>
        <w:ind w:firstLine="709"/>
        <w:jc w:val="both"/>
        <w:rPr>
          <w:rFonts w:cs="Calibri"/>
          <w:sz w:val="28"/>
          <w:szCs w:val="28"/>
        </w:rPr>
      </w:pPr>
      <w:r w:rsidRPr="00093F56">
        <w:rPr>
          <w:rFonts w:cs="Calibri"/>
          <w:sz w:val="28"/>
          <w:szCs w:val="28"/>
        </w:rPr>
        <w:t xml:space="preserve">Информация по ресурсному обеспечению Программы за счет средств бюджета </w:t>
      </w:r>
      <w:r>
        <w:rPr>
          <w:rFonts w:cs="Calibri"/>
          <w:sz w:val="28"/>
          <w:szCs w:val="28"/>
        </w:rPr>
        <w:t>муниципального</w:t>
      </w:r>
      <w:r w:rsidRPr="00093F56">
        <w:rPr>
          <w:rFonts w:cs="Calibri"/>
          <w:sz w:val="28"/>
          <w:szCs w:val="28"/>
        </w:rPr>
        <w:t xml:space="preserve"> округа, иных источников отражены в таблицах 4 – 5.</w:t>
      </w:r>
    </w:p>
    <w:p w:rsidR="00093F56" w:rsidRPr="00093F56" w:rsidRDefault="00093F56" w:rsidP="00093F56">
      <w:pPr>
        <w:ind w:firstLine="567"/>
        <w:jc w:val="both"/>
        <w:rPr>
          <w:rFonts w:cs="Calibri"/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  <w:sectPr w:rsidR="00093F56" w:rsidRPr="00093F56" w:rsidSect="00DB6C0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Таблица 4. Ресурсное обеспечение реализации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</w:t>
      </w:r>
    </w:p>
    <w:p w:rsidR="00093F56" w:rsidRPr="00093F56" w:rsidRDefault="00093F56" w:rsidP="00093F56">
      <w:pPr>
        <w:ind w:firstLine="540"/>
        <w:jc w:val="both"/>
        <w:rPr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127"/>
        <w:gridCol w:w="1842"/>
        <w:gridCol w:w="1134"/>
        <w:gridCol w:w="1134"/>
        <w:gridCol w:w="1134"/>
        <w:gridCol w:w="1134"/>
        <w:gridCol w:w="1134"/>
        <w:gridCol w:w="1134"/>
        <w:gridCol w:w="1560"/>
      </w:tblGrid>
      <w:tr w:rsidR="00093F56" w:rsidRPr="00093F56" w:rsidTr="00DB6C0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Главный распорядитель средств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</w:tr>
      <w:tr w:rsidR="00093F56" w:rsidRPr="00093F56" w:rsidTr="00DB6C0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trHeight w:val="21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</w:t>
            </w:r>
          </w:p>
        </w:tc>
      </w:tr>
      <w:tr w:rsidR="00093F56" w:rsidRPr="00093F56" w:rsidTr="00DB6C0E">
        <w:trPr>
          <w:trHeight w:val="24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83C9B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BE785D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BE785D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BE785D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BE785D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BE785D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BE785D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BE785D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BE785D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Таблица 5. Прогнозная оценка расходов на реализацию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за счет всех источников финансирования</w:t>
      </w:r>
    </w:p>
    <w:p w:rsidR="00093F56" w:rsidRPr="00093F56" w:rsidRDefault="00093F56" w:rsidP="00093F56">
      <w:pPr>
        <w:ind w:firstLine="540"/>
        <w:jc w:val="both"/>
        <w:rPr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126"/>
        <w:gridCol w:w="2410"/>
        <w:gridCol w:w="1063"/>
        <w:gridCol w:w="1063"/>
        <w:gridCol w:w="1063"/>
        <w:gridCol w:w="1063"/>
        <w:gridCol w:w="1063"/>
        <w:gridCol w:w="1064"/>
        <w:gridCol w:w="1134"/>
      </w:tblGrid>
      <w:tr w:rsidR="00093F56" w:rsidRPr="00093F56" w:rsidTr="00DB6C0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Главный распорядитель средств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Всего, </w:t>
            </w:r>
          </w:p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тыс. руб.</w:t>
            </w:r>
          </w:p>
        </w:tc>
      </w:tr>
      <w:tr w:rsidR="00093F56" w:rsidRPr="00093F56" w:rsidTr="00DB6C0E">
        <w:trPr>
          <w:trHeight w:val="819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9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2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9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left="-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1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969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192</w:t>
            </w:r>
            <w:r w:rsidRPr="00093F56"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18552,26988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</w:t>
            </w:r>
            <w:r w:rsidR="00383C9B">
              <w:rPr>
                <w:sz w:val="22"/>
                <w:szCs w:val="22"/>
              </w:rPr>
              <w:t>1254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0A2DD8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119744,11171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83C9B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0A2DD8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400,00000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800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,000</w:t>
            </w:r>
            <w:r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247,47500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260,00000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837,475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1 «Обеспечение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0,0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0,0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  <w:lang w:val="en-US"/>
              </w:rPr>
              <w:t>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1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Основное мероприятие 3 «Развитие информационной системы управления муниципальными финансами»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A2D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A2D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Основное мероприятие 5 Участие финансового органа в НП «Союз финансистов России»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A2DD8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A2DD8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Основное мероприятие 6 «</w:t>
            </w:r>
            <w:r w:rsidRPr="00093F56">
              <w:rPr>
                <w:color w:val="000000"/>
                <w:sz w:val="24"/>
                <w:szCs w:val="24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Pr="00093F56">
              <w:rPr>
                <w:color w:val="000000"/>
                <w:sz w:val="24"/>
                <w:szCs w:val="24"/>
              </w:rPr>
              <w:t xml:space="preserve"> округа»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17</w:t>
            </w:r>
            <w:r w:rsidRPr="00093F56">
              <w:rPr>
                <w:sz w:val="22"/>
                <w:szCs w:val="22"/>
                <w:lang w:val="en-US"/>
              </w:rPr>
              <w:t>269</w:t>
            </w:r>
            <w:r w:rsidRPr="00093F56">
              <w:rPr>
                <w:sz w:val="22"/>
                <w:szCs w:val="22"/>
              </w:rPr>
              <w:t>,</w:t>
            </w:r>
            <w:r w:rsidRPr="00093F56">
              <w:rPr>
                <w:sz w:val="22"/>
                <w:szCs w:val="22"/>
                <w:lang w:val="en-US"/>
              </w:rPr>
              <w:t>412</w:t>
            </w:r>
            <w:r w:rsidRPr="00093F56">
              <w:rPr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17856,98501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</w:t>
            </w:r>
            <w:r w:rsidR="000A2DD8">
              <w:rPr>
                <w:sz w:val="22"/>
                <w:szCs w:val="22"/>
              </w:rPr>
              <w:t>699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114700,51784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16621,93777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17196,98501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113063,04284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  <w:lang w:val="en-US"/>
              </w:rPr>
              <w:t>4</w:t>
            </w:r>
            <w:r w:rsidRPr="00093F56">
              <w:rPr>
                <w:rFonts w:cs="Arial"/>
                <w:sz w:val="22"/>
                <w:szCs w:val="22"/>
              </w:rPr>
              <w:t>00,00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400,00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800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  <w:lang w:val="en-US"/>
              </w:rPr>
              <w:t>247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475000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260,00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</w:t>
            </w:r>
            <w:r w:rsidR="00093F56"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383C9B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837,475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34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3F56" w:rsidRPr="00093F56" w:rsidRDefault="00093F56" w:rsidP="00093F56">
      <w:pPr>
        <w:jc w:val="both"/>
        <w:rPr>
          <w:sz w:val="28"/>
          <w:szCs w:val="28"/>
        </w:rPr>
        <w:sectPr w:rsidR="00093F56" w:rsidRPr="00093F56" w:rsidSect="00DB6C0E">
          <w:pgSz w:w="16838" w:h="11906" w:orient="landscape"/>
          <w:pgMar w:top="1276" w:right="1134" w:bottom="709" w:left="1134" w:header="708" w:footer="708" w:gutter="0"/>
          <w:cols w:space="708"/>
          <w:docGrid w:linePitch="360"/>
        </w:sectPr>
      </w:pPr>
    </w:p>
    <w:p w:rsidR="00093F56" w:rsidRPr="00093F56" w:rsidRDefault="00093F56" w:rsidP="00093F56">
      <w:pPr>
        <w:widowControl/>
        <w:spacing w:before="120" w:after="120"/>
        <w:jc w:val="center"/>
        <w:outlineLvl w:val="1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lastRenderedPageBreak/>
        <w:t>9. Анализ рисков реализации Программы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Основными рисками реализации Программы, которыми может управлять Управление финансов, как ответственный исполнитель Программы, обеспечивая снижение вероятности их возникновения, являются: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1. Изменения норм федерального законодательства, влекущие необходимость корректировки отдельных задач Программы и внесение изменений в </w:t>
      </w:r>
      <w:hyperlink r:id="rId9" w:history="1">
        <w:r w:rsidRPr="00093F56">
          <w:rPr>
            <w:sz w:val="28"/>
            <w:szCs w:val="28"/>
          </w:rPr>
          <w:t>план</w:t>
        </w:r>
      </w:hyperlink>
      <w:r w:rsidRPr="00093F56">
        <w:rPr>
          <w:sz w:val="28"/>
          <w:szCs w:val="28"/>
        </w:rPr>
        <w:t xml:space="preserve"> мероприятий по реализации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целях снижения негативного влияния данных факторов Управлением финансов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2. Организационные риски, связанные с возникновением проблем в реализации Программы в результате недостаточной квалификации и (или) недобросовестности сотрудников, что может привести к несвоевременному финансированию и невыполнению ряда мероприятий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 xml:space="preserve">Снижению указанных рисков будут способствовать координация деятельности сотрудников Управления финансов, курирующих вопросы реализации мероприятий Программы, активное участие в работе НП «Союз финансистов России» в целях получения актуальной информации о складывающейся ситуации в бюджетном законодательстве, а также повышение ответственности руководителей исполнительно-распорядительных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за своевременную и эффективную реализацию запланированных мероприятий.</w:t>
      </w:r>
      <w:proofErr w:type="gramEnd"/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Реализация Программы позволит: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обеспечить сбалансированность и устойчивость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снизить долговую нагрузку на бюджет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при безусловном исполнении долговых обязательств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обеспечить формирование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 основе программно-целевого подхода, позволяющего осуществлять планирование бюджетных ассигнований с учетом показателей реализации муниципальных программ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повысить бюджетный потенциал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за счет эффективного осуществления бюджетных расходов, направленных на достижение конечного социально-экономического результата.</w:t>
      </w:r>
    </w:p>
    <w:p w:rsidR="00093F56" w:rsidRPr="00093F56" w:rsidRDefault="00093F56" w:rsidP="00093F56">
      <w:pPr>
        <w:widowControl/>
        <w:spacing w:before="240"/>
        <w:jc w:val="center"/>
        <w:outlineLvl w:val="1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 xml:space="preserve">10. Система организации </w:t>
      </w:r>
      <w:proofErr w:type="gramStart"/>
      <w:r w:rsidRPr="00093F56">
        <w:rPr>
          <w:b/>
          <w:sz w:val="28"/>
          <w:szCs w:val="28"/>
        </w:rPr>
        <w:t>контроля за</w:t>
      </w:r>
      <w:proofErr w:type="gramEnd"/>
      <w:r w:rsidRPr="00093F56">
        <w:rPr>
          <w:b/>
          <w:sz w:val="28"/>
          <w:szCs w:val="28"/>
        </w:rPr>
        <w:t xml:space="preserve"> исполнением программы</w:t>
      </w:r>
    </w:p>
    <w:p w:rsidR="00093F56" w:rsidRPr="00093F56" w:rsidRDefault="00093F56" w:rsidP="00093F56">
      <w:pPr>
        <w:widowControl/>
        <w:spacing w:before="240"/>
        <w:ind w:firstLine="709"/>
        <w:jc w:val="both"/>
        <w:outlineLvl w:val="1"/>
        <w:rPr>
          <w:sz w:val="28"/>
          <w:szCs w:val="28"/>
        </w:rPr>
      </w:pPr>
      <w:r w:rsidRPr="00093F56">
        <w:rPr>
          <w:sz w:val="28"/>
          <w:szCs w:val="28"/>
        </w:rPr>
        <w:t xml:space="preserve">Управление и </w:t>
      </w:r>
      <w:proofErr w:type="gramStart"/>
      <w:r w:rsidRPr="00093F56">
        <w:rPr>
          <w:sz w:val="28"/>
          <w:szCs w:val="28"/>
        </w:rPr>
        <w:t>контроль за</w:t>
      </w:r>
      <w:proofErr w:type="gramEnd"/>
      <w:r w:rsidRPr="00093F56">
        <w:rPr>
          <w:sz w:val="28"/>
          <w:szCs w:val="28"/>
        </w:rPr>
        <w:t xml:space="preserve"> ходом реализации Программы осуществляет Управление финансов.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целях обеспечения качественного и своевременного выполнения мероприятий Программы будет сформирована система оперативного мониторинга (контроля) ее реализации.</w:t>
      </w:r>
    </w:p>
    <w:p w:rsidR="00093F56" w:rsidRPr="00093F56" w:rsidRDefault="00093F56" w:rsidP="00093F56">
      <w:pPr>
        <w:widowControl/>
        <w:ind w:firstLine="709"/>
        <w:jc w:val="both"/>
        <w:outlineLvl w:val="1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 xml:space="preserve">Соисполнители Программы, ответственные за проведение отдельных программных мероприятий в соответствии с таблицей 1 к Программе, обеспечивают исполнение данных мероприятий в установленные сроки и представляют в </w:t>
      </w:r>
      <w:r w:rsidRPr="00093F56">
        <w:rPr>
          <w:sz w:val="28"/>
          <w:szCs w:val="28"/>
        </w:rPr>
        <w:lastRenderedPageBreak/>
        <w:t>Управление финансов информацию о ходе реализации мероприятий Программы, об индикаторах и непосредственных результатах выполнения мероприятий Программы в соответствии с таблицей 2 к Программе, достижению и использованию средств, направленных на их выполнение, по итогам 1 полугодия</w:t>
      </w:r>
      <w:proofErr w:type="gramEnd"/>
      <w:r w:rsidRPr="00093F56">
        <w:rPr>
          <w:sz w:val="28"/>
          <w:szCs w:val="28"/>
        </w:rPr>
        <w:t xml:space="preserve"> в срок до 10 июля текущего года и за отчетный год в срок до 1 марта, следующего за отчетным периодом.</w:t>
      </w: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center"/>
      </w:pPr>
      <w:r w:rsidRPr="00093F56">
        <w:rPr>
          <w:sz w:val="28"/>
          <w:szCs w:val="28"/>
        </w:rPr>
        <w:t>__________________</w:t>
      </w:r>
    </w:p>
    <w:p w:rsidR="00624879" w:rsidRPr="00624879" w:rsidRDefault="00624879" w:rsidP="00624879">
      <w:pPr>
        <w:widowControl/>
        <w:jc w:val="right"/>
        <w:rPr>
          <w:bCs/>
          <w:sz w:val="24"/>
          <w:szCs w:val="24"/>
        </w:rPr>
      </w:pPr>
    </w:p>
    <w:sectPr w:rsidR="00624879" w:rsidRPr="00624879" w:rsidSect="005A100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17" w:rsidRDefault="00475D17">
      <w:r>
        <w:separator/>
      </w:r>
    </w:p>
  </w:endnote>
  <w:endnote w:type="continuationSeparator" w:id="0">
    <w:p w:rsidR="00475D17" w:rsidRDefault="0047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17" w:rsidRDefault="00475D17">
      <w:r>
        <w:separator/>
      </w:r>
    </w:p>
  </w:footnote>
  <w:footnote w:type="continuationSeparator" w:id="0">
    <w:p w:rsidR="00475D17" w:rsidRDefault="00475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5D2"/>
    <w:multiLevelType w:val="hybridMultilevel"/>
    <w:tmpl w:val="6ADCF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D2C9C"/>
    <w:multiLevelType w:val="hybridMultilevel"/>
    <w:tmpl w:val="225A6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17F3B"/>
    <w:multiLevelType w:val="hybridMultilevel"/>
    <w:tmpl w:val="A51CC3BA"/>
    <w:lvl w:ilvl="0" w:tplc="3E04AD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AE33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1C44CDC"/>
    <w:multiLevelType w:val="hybridMultilevel"/>
    <w:tmpl w:val="57DE48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40"/>
    <w:rsid w:val="000119DF"/>
    <w:rsid w:val="00013427"/>
    <w:rsid w:val="000135C8"/>
    <w:rsid w:val="00013D1B"/>
    <w:rsid w:val="0001560D"/>
    <w:rsid w:val="00035607"/>
    <w:rsid w:val="000511D5"/>
    <w:rsid w:val="000567F8"/>
    <w:rsid w:val="00064349"/>
    <w:rsid w:val="0007379F"/>
    <w:rsid w:val="000809FB"/>
    <w:rsid w:val="00082928"/>
    <w:rsid w:val="0008433F"/>
    <w:rsid w:val="00093F56"/>
    <w:rsid w:val="000A2780"/>
    <w:rsid w:val="000A2DD8"/>
    <w:rsid w:val="000A786E"/>
    <w:rsid w:val="000B6180"/>
    <w:rsid w:val="000C10D2"/>
    <w:rsid w:val="000D7B98"/>
    <w:rsid w:val="000E2F2A"/>
    <w:rsid w:val="00121E17"/>
    <w:rsid w:val="00123638"/>
    <w:rsid w:val="00165E61"/>
    <w:rsid w:val="0018534E"/>
    <w:rsid w:val="00185394"/>
    <w:rsid w:val="00185D31"/>
    <w:rsid w:val="00190523"/>
    <w:rsid w:val="00194E89"/>
    <w:rsid w:val="001A6F91"/>
    <w:rsid w:val="001B4A78"/>
    <w:rsid w:val="001B6E95"/>
    <w:rsid w:val="001C213F"/>
    <w:rsid w:val="001C31EE"/>
    <w:rsid w:val="001C3BD2"/>
    <w:rsid w:val="001E2FD3"/>
    <w:rsid w:val="0020384E"/>
    <w:rsid w:val="0021236C"/>
    <w:rsid w:val="002140B2"/>
    <w:rsid w:val="00214B85"/>
    <w:rsid w:val="002369DD"/>
    <w:rsid w:val="00250FF5"/>
    <w:rsid w:val="00253EA2"/>
    <w:rsid w:val="002543A5"/>
    <w:rsid w:val="002651B5"/>
    <w:rsid w:val="00276863"/>
    <w:rsid w:val="00277532"/>
    <w:rsid w:val="00286108"/>
    <w:rsid w:val="00287244"/>
    <w:rsid w:val="002901C4"/>
    <w:rsid w:val="00294EC5"/>
    <w:rsid w:val="002951CC"/>
    <w:rsid w:val="00297197"/>
    <w:rsid w:val="002A02F5"/>
    <w:rsid w:val="002A64D5"/>
    <w:rsid w:val="002B3133"/>
    <w:rsid w:val="002C3806"/>
    <w:rsid w:val="002C3EDB"/>
    <w:rsid w:val="002C6F46"/>
    <w:rsid w:val="002D145E"/>
    <w:rsid w:val="002E2097"/>
    <w:rsid w:val="002F61B6"/>
    <w:rsid w:val="00300325"/>
    <w:rsid w:val="003038B3"/>
    <w:rsid w:val="00303CBF"/>
    <w:rsid w:val="00310814"/>
    <w:rsid w:val="00322BDE"/>
    <w:rsid w:val="003232AD"/>
    <w:rsid w:val="0033134E"/>
    <w:rsid w:val="0033513D"/>
    <w:rsid w:val="00336B8C"/>
    <w:rsid w:val="00351CF7"/>
    <w:rsid w:val="00353C89"/>
    <w:rsid w:val="00353FB3"/>
    <w:rsid w:val="00354FFD"/>
    <w:rsid w:val="003619CF"/>
    <w:rsid w:val="00361D6B"/>
    <w:rsid w:val="0036260D"/>
    <w:rsid w:val="00362D6A"/>
    <w:rsid w:val="00365087"/>
    <w:rsid w:val="003703AD"/>
    <w:rsid w:val="00383C9B"/>
    <w:rsid w:val="00383EFF"/>
    <w:rsid w:val="0038554C"/>
    <w:rsid w:val="00385C56"/>
    <w:rsid w:val="00386E09"/>
    <w:rsid w:val="00391274"/>
    <w:rsid w:val="00391985"/>
    <w:rsid w:val="00392281"/>
    <w:rsid w:val="003A2AF8"/>
    <w:rsid w:val="003B08B0"/>
    <w:rsid w:val="003B0E7D"/>
    <w:rsid w:val="003B1E1B"/>
    <w:rsid w:val="003B32C4"/>
    <w:rsid w:val="003B3E3E"/>
    <w:rsid w:val="003C584A"/>
    <w:rsid w:val="003E0DB6"/>
    <w:rsid w:val="003E5338"/>
    <w:rsid w:val="003F68E7"/>
    <w:rsid w:val="00411F06"/>
    <w:rsid w:val="004134D5"/>
    <w:rsid w:val="004165F0"/>
    <w:rsid w:val="0042340E"/>
    <w:rsid w:val="00423533"/>
    <w:rsid w:val="004236C8"/>
    <w:rsid w:val="004331B7"/>
    <w:rsid w:val="0043402F"/>
    <w:rsid w:val="00445D70"/>
    <w:rsid w:val="004521C6"/>
    <w:rsid w:val="00462743"/>
    <w:rsid w:val="0046597E"/>
    <w:rsid w:val="0047466B"/>
    <w:rsid w:val="00475D17"/>
    <w:rsid w:val="004A002C"/>
    <w:rsid w:val="004A548B"/>
    <w:rsid w:val="004A5B13"/>
    <w:rsid w:val="004B226C"/>
    <w:rsid w:val="004C03F4"/>
    <w:rsid w:val="004C0B1B"/>
    <w:rsid w:val="004C567A"/>
    <w:rsid w:val="004C61EB"/>
    <w:rsid w:val="004D44E1"/>
    <w:rsid w:val="004D7B8B"/>
    <w:rsid w:val="004E1342"/>
    <w:rsid w:val="004E1C05"/>
    <w:rsid w:val="004F3C40"/>
    <w:rsid w:val="00513207"/>
    <w:rsid w:val="00513AEE"/>
    <w:rsid w:val="00522893"/>
    <w:rsid w:val="00525C93"/>
    <w:rsid w:val="00533A6A"/>
    <w:rsid w:val="005359E3"/>
    <w:rsid w:val="00564525"/>
    <w:rsid w:val="005648E4"/>
    <w:rsid w:val="0058092F"/>
    <w:rsid w:val="00584D68"/>
    <w:rsid w:val="005871DF"/>
    <w:rsid w:val="00592496"/>
    <w:rsid w:val="005A1007"/>
    <w:rsid w:val="005A343A"/>
    <w:rsid w:val="005A3DB4"/>
    <w:rsid w:val="005B3E96"/>
    <w:rsid w:val="005B520E"/>
    <w:rsid w:val="005B7681"/>
    <w:rsid w:val="005C2BAE"/>
    <w:rsid w:val="005C7D4E"/>
    <w:rsid w:val="005D060D"/>
    <w:rsid w:val="005D0AA0"/>
    <w:rsid w:val="005D6D6D"/>
    <w:rsid w:val="005D7A75"/>
    <w:rsid w:val="005E7EDB"/>
    <w:rsid w:val="005F4315"/>
    <w:rsid w:val="00623D4B"/>
    <w:rsid w:val="006246DD"/>
    <w:rsid w:val="00624879"/>
    <w:rsid w:val="006274A7"/>
    <w:rsid w:val="0063464A"/>
    <w:rsid w:val="006371E2"/>
    <w:rsid w:val="00645B41"/>
    <w:rsid w:val="006560D5"/>
    <w:rsid w:val="00656D3F"/>
    <w:rsid w:val="0066294B"/>
    <w:rsid w:val="006633E0"/>
    <w:rsid w:val="00664661"/>
    <w:rsid w:val="006741F0"/>
    <w:rsid w:val="006815D9"/>
    <w:rsid w:val="006A1ADA"/>
    <w:rsid w:val="006A7319"/>
    <w:rsid w:val="006B27E9"/>
    <w:rsid w:val="006C02F4"/>
    <w:rsid w:val="006C6B75"/>
    <w:rsid w:val="006D62A7"/>
    <w:rsid w:val="006E6415"/>
    <w:rsid w:val="006F76E9"/>
    <w:rsid w:val="0070313B"/>
    <w:rsid w:val="00704885"/>
    <w:rsid w:val="00706DAB"/>
    <w:rsid w:val="0071227E"/>
    <w:rsid w:val="00712590"/>
    <w:rsid w:val="00715546"/>
    <w:rsid w:val="00716B43"/>
    <w:rsid w:val="00722827"/>
    <w:rsid w:val="00731EDD"/>
    <w:rsid w:val="00742535"/>
    <w:rsid w:val="007473C2"/>
    <w:rsid w:val="0075377D"/>
    <w:rsid w:val="0076089C"/>
    <w:rsid w:val="00765253"/>
    <w:rsid w:val="00766461"/>
    <w:rsid w:val="007669A0"/>
    <w:rsid w:val="00772D81"/>
    <w:rsid w:val="007732AB"/>
    <w:rsid w:val="007A5417"/>
    <w:rsid w:val="007A62FB"/>
    <w:rsid w:val="007C3108"/>
    <w:rsid w:val="007D4ACD"/>
    <w:rsid w:val="007E63BA"/>
    <w:rsid w:val="007E7C29"/>
    <w:rsid w:val="007F1102"/>
    <w:rsid w:val="007F75BF"/>
    <w:rsid w:val="00800273"/>
    <w:rsid w:val="008068C1"/>
    <w:rsid w:val="00813820"/>
    <w:rsid w:val="0081686A"/>
    <w:rsid w:val="00823CF8"/>
    <w:rsid w:val="00832F51"/>
    <w:rsid w:val="008412FD"/>
    <w:rsid w:val="008417EF"/>
    <w:rsid w:val="008447FE"/>
    <w:rsid w:val="008509EA"/>
    <w:rsid w:val="0086253A"/>
    <w:rsid w:val="00863A80"/>
    <w:rsid w:val="00871637"/>
    <w:rsid w:val="00875949"/>
    <w:rsid w:val="008808A4"/>
    <w:rsid w:val="00893627"/>
    <w:rsid w:val="00895A10"/>
    <w:rsid w:val="00897093"/>
    <w:rsid w:val="008A16A9"/>
    <w:rsid w:val="008B17EE"/>
    <w:rsid w:val="008B40F9"/>
    <w:rsid w:val="008C4DD4"/>
    <w:rsid w:val="008C683E"/>
    <w:rsid w:val="008D222C"/>
    <w:rsid w:val="008D537A"/>
    <w:rsid w:val="008E01B4"/>
    <w:rsid w:val="008E5143"/>
    <w:rsid w:val="008F63F8"/>
    <w:rsid w:val="009008CB"/>
    <w:rsid w:val="0090336D"/>
    <w:rsid w:val="00907DA4"/>
    <w:rsid w:val="00910F68"/>
    <w:rsid w:val="00915236"/>
    <w:rsid w:val="00922C4E"/>
    <w:rsid w:val="009314FD"/>
    <w:rsid w:val="00963E89"/>
    <w:rsid w:val="00966E7A"/>
    <w:rsid w:val="0097298C"/>
    <w:rsid w:val="0097724D"/>
    <w:rsid w:val="00984B59"/>
    <w:rsid w:val="00985DA8"/>
    <w:rsid w:val="00985E8E"/>
    <w:rsid w:val="0099736E"/>
    <w:rsid w:val="009A1239"/>
    <w:rsid w:val="009A2995"/>
    <w:rsid w:val="009B0B6E"/>
    <w:rsid w:val="009B14AF"/>
    <w:rsid w:val="009C76B7"/>
    <w:rsid w:val="009D021D"/>
    <w:rsid w:val="009D2271"/>
    <w:rsid w:val="009D3CE2"/>
    <w:rsid w:val="009D3D60"/>
    <w:rsid w:val="009D75BF"/>
    <w:rsid w:val="009E1D9A"/>
    <w:rsid w:val="009E240B"/>
    <w:rsid w:val="009E282E"/>
    <w:rsid w:val="009F3767"/>
    <w:rsid w:val="009F502A"/>
    <w:rsid w:val="009F58B0"/>
    <w:rsid w:val="009F7D81"/>
    <w:rsid w:val="00A109D7"/>
    <w:rsid w:val="00A1366F"/>
    <w:rsid w:val="00A17DA4"/>
    <w:rsid w:val="00A22EB0"/>
    <w:rsid w:val="00A4069D"/>
    <w:rsid w:val="00A520B7"/>
    <w:rsid w:val="00A55B3B"/>
    <w:rsid w:val="00A62584"/>
    <w:rsid w:val="00A83AEA"/>
    <w:rsid w:val="00A92977"/>
    <w:rsid w:val="00A93AC4"/>
    <w:rsid w:val="00A9507F"/>
    <w:rsid w:val="00A96391"/>
    <w:rsid w:val="00A96B2F"/>
    <w:rsid w:val="00AA0B07"/>
    <w:rsid w:val="00AA4CC4"/>
    <w:rsid w:val="00AB2C2A"/>
    <w:rsid w:val="00AB3104"/>
    <w:rsid w:val="00AB7612"/>
    <w:rsid w:val="00AC576A"/>
    <w:rsid w:val="00AC68AB"/>
    <w:rsid w:val="00AD4945"/>
    <w:rsid w:val="00AE0B83"/>
    <w:rsid w:val="00AF265F"/>
    <w:rsid w:val="00AF53E7"/>
    <w:rsid w:val="00AF6039"/>
    <w:rsid w:val="00AF7DC4"/>
    <w:rsid w:val="00B00AB9"/>
    <w:rsid w:val="00B12F74"/>
    <w:rsid w:val="00B154B3"/>
    <w:rsid w:val="00B16D99"/>
    <w:rsid w:val="00B210E2"/>
    <w:rsid w:val="00B23A4E"/>
    <w:rsid w:val="00B36003"/>
    <w:rsid w:val="00B60E2B"/>
    <w:rsid w:val="00B64B69"/>
    <w:rsid w:val="00B77B0F"/>
    <w:rsid w:val="00B77ECC"/>
    <w:rsid w:val="00B808E6"/>
    <w:rsid w:val="00B819CA"/>
    <w:rsid w:val="00B82F75"/>
    <w:rsid w:val="00B94269"/>
    <w:rsid w:val="00B94FA3"/>
    <w:rsid w:val="00BA4801"/>
    <w:rsid w:val="00BA7C1B"/>
    <w:rsid w:val="00BB0DC0"/>
    <w:rsid w:val="00BB4CC5"/>
    <w:rsid w:val="00BC5035"/>
    <w:rsid w:val="00BD12F2"/>
    <w:rsid w:val="00BD755A"/>
    <w:rsid w:val="00BE57A7"/>
    <w:rsid w:val="00BE785D"/>
    <w:rsid w:val="00BF22AD"/>
    <w:rsid w:val="00BF264A"/>
    <w:rsid w:val="00BF2F1A"/>
    <w:rsid w:val="00C02D58"/>
    <w:rsid w:val="00C03CB2"/>
    <w:rsid w:val="00C115A6"/>
    <w:rsid w:val="00C12F40"/>
    <w:rsid w:val="00C13729"/>
    <w:rsid w:val="00C14985"/>
    <w:rsid w:val="00C15E22"/>
    <w:rsid w:val="00C33001"/>
    <w:rsid w:val="00C600CB"/>
    <w:rsid w:val="00C72947"/>
    <w:rsid w:val="00C818E7"/>
    <w:rsid w:val="00C853E2"/>
    <w:rsid w:val="00C85CF9"/>
    <w:rsid w:val="00C862BB"/>
    <w:rsid w:val="00C909EA"/>
    <w:rsid w:val="00C94A2D"/>
    <w:rsid w:val="00C963A6"/>
    <w:rsid w:val="00CA1D6C"/>
    <w:rsid w:val="00CA26C9"/>
    <w:rsid w:val="00CA2A96"/>
    <w:rsid w:val="00CA2AB6"/>
    <w:rsid w:val="00CA4319"/>
    <w:rsid w:val="00CA4ED9"/>
    <w:rsid w:val="00CB59BB"/>
    <w:rsid w:val="00CC193B"/>
    <w:rsid w:val="00CC5C0D"/>
    <w:rsid w:val="00CD27CF"/>
    <w:rsid w:val="00CD4D57"/>
    <w:rsid w:val="00CF1D6E"/>
    <w:rsid w:val="00D02EBC"/>
    <w:rsid w:val="00D254F0"/>
    <w:rsid w:val="00D32640"/>
    <w:rsid w:val="00D40B32"/>
    <w:rsid w:val="00D42816"/>
    <w:rsid w:val="00D428AC"/>
    <w:rsid w:val="00D440E3"/>
    <w:rsid w:val="00D61227"/>
    <w:rsid w:val="00D6465B"/>
    <w:rsid w:val="00D66535"/>
    <w:rsid w:val="00D66F97"/>
    <w:rsid w:val="00D708B9"/>
    <w:rsid w:val="00D70C3A"/>
    <w:rsid w:val="00D76170"/>
    <w:rsid w:val="00D90E85"/>
    <w:rsid w:val="00D94F74"/>
    <w:rsid w:val="00DB148C"/>
    <w:rsid w:val="00DB24E8"/>
    <w:rsid w:val="00DB5EEB"/>
    <w:rsid w:val="00DB65D8"/>
    <w:rsid w:val="00DB6C0E"/>
    <w:rsid w:val="00DC0134"/>
    <w:rsid w:val="00DC06DC"/>
    <w:rsid w:val="00DD6946"/>
    <w:rsid w:val="00DD6FA3"/>
    <w:rsid w:val="00DE0DAE"/>
    <w:rsid w:val="00DE22FA"/>
    <w:rsid w:val="00DE490A"/>
    <w:rsid w:val="00DF1456"/>
    <w:rsid w:val="00DF4184"/>
    <w:rsid w:val="00E01401"/>
    <w:rsid w:val="00E3217D"/>
    <w:rsid w:val="00E37274"/>
    <w:rsid w:val="00E40E00"/>
    <w:rsid w:val="00E44258"/>
    <w:rsid w:val="00E5073B"/>
    <w:rsid w:val="00E565F5"/>
    <w:rsid w:val="00E62745"/>
    <w:rsid w:val="00E62CAE"/>
    <w:rsid w:val="00E633AF"/>
    <w:rsid w:val="00E65136"/>
    <w:rsid w:val="00E71EA7"/>
    <w:rsid w:val="00E761D9"/>
    <w:rsid w:val="00E77E24"/>
    <w:rsid w:val="00E847AC"/>
    <w:rsid w:val="00E86E20"/>
    <w:rsid w:val="00EA620F"/>
    <w:rsid w:val="00EB559B"/>
    <w:rsid w:val="00EB6F4F"/>
    <w:rsid w:val="00EC7A60"/>
    <w:rsid w:val="00EE2B44"/>
    <w:rsid w:val="00EE4BD6"/>
    <w:rsid w:val="00EF1207"/>
    <w:rsid w:val="00F0290C"/>
    <w:rsid w:val="00F0620E"/>
    <w:rsid w:val="00F12D10"/>
    <w:rsid w:val="00F21B5B"/>
    <w:rsid w:val="00F31AFE"/>
    <w:rsid w:val="00F4794B"/>
    <w:rsid w:val="00F56F74"/>
    <w:rsid w:val="00F61EF4"/>
    <w:rsid w:val="00F913C7"/>
    <w:rsid w:val="00F92528"/>
    <w:rsid w:val="00F92C82"/>
    <w:rsid w:val="00F95462"/>
    <w:rsid w:val="00F97D65"/>
    <w:rsid w:val="00FA1D05"/>
    <w:rsid w:val="00FA2C11"/>
    <w:rsid w:val="00FA48DA"/>
    <w:rsid w:val="00FB3657"/>
    <w:rsid w:val="00FB49E5"/>
    <w:rsid w:val="00FB5193"/>
    <w:rsid w:val="00FE14E2"/>
    <w:rsid w:val="00FE1995"/>
    <w:rsid w:val="00FE3D4F"/>
    <w:rsid w:val="00FF0F9A"/>
    <w:rsid w:val="00FF30DA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  <w:style w:type="paragraph" w:customStyle="1" w:styleId="21">
    <w:name w:val="Знак Знак2"/>
    <w:basedOn w:val="a"/>
    <w:rsid w:val="0062487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5">
    <w:name w:val="Нет списка1"/>
    <w:next w:val="a2"/>
    <w:semiHidden/>
    <w:unhideWhenUsed/>
    <w:rsid w:val="00624879"/>
  </w:style>
  <w:style w:type="character" w:customStyle="1" w:styleId="16">
    <w:name w:val="Текст выноски Знак1"/>
    <w:basedOn w:val="a0"/>
    <w:uiPriority w:val="99"/>
    <w:semiHidden/>
    <w:rsid w:val="006248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1"/>
    <w:rsid w:val="006248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624879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624879"/>
    <w:pPr>
      <w:widowControl w:val="0"/>
      <w:autoSpaceDE w:val="0"/>
      <w:autoSpaceDN w:val="0"/>
      <w:adjustRightInd w:val="0"/>
    </w:pPr>
  </w:style>
  <w:style w:type="paragraph" w:customStyle="1" w:styleId="3">
    <w:name w:val="Абзац списка3"/>
    <w:basedOn w:val="a"/>
    <w:rsid w:val="00093F56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93F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  <w:style w:type="paragraph" w:customStyle="1" w:styleId="21">
    <w:name w:val="Знак Знак2"/>
    <w:basedOn w:val="a"/>
    <w:rsid w:val="0062487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5">
    <w:name w:val="Нет списка1"/>
    <w:next w:val="a2"/>
    <w:semiHidden/>
    <w:unhideWhenUsed/>
    <w:rsid w:val="00624879"/>
  </w:style>
  <w:style w:type="character" w:customStyle="1" w:styleId="16">
    <w:name w:val="Текст выноски Знак1"/>
    <w:basedOn w:val="a0"/>
    <w:uiPriority w:val="99"/>
    <w:semiHidden/>
    <w:rsid w:val="006248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1"/>
    <w:rsid w:val="006248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624879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624879"/>
    <w:pPr>
      <w:widowControl w:val="0"/>
      <w:autoSpaceDE w:val="0"/>
      <w:autoSpaceDN w:val="0"/>
      <w:adjustRightInd w:val="0"/>
    </w:pPr>
  </w:style>
  <w:style w:type="paragraph" w:customStyle="1" w:styleId="3">
    <w:name w:val="Абзац списка3"/>
    <w:basedOn w:val="a"/>
    <w:rsid w:val="00093F56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93F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7699D6E2130842095B5F1BB393D4FF7A0B22E8EA5C38DB0707A58ECD158871DFE80B17A650BC9DD20C5EPC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DC16-6741-4DA5-8286-64A34B37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7810</Words>
  <Characters>44520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52226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Тепегина С.В.</cp:lastModifiedBy>
  <cp:revision>10</cp:revision>
  <cp:lastPrinted>2024-03-12T11:32:00Z</cp:lastPrinted>
  <dcterms:created xsi:type="dcterms:W3CDTF">2025-12-23T12:52:00Z</dcterms:created>
  <dcterms:modified xsi:type="dcterms:W3CDTF">2026-01-15T06:46:00Z</dcterms:modified>
</cp:coreProperties>
</file>